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0D" w:rsidRPr="00B96EDC" w:rsidRDefault="009F2D91" w:rsidP="00826A2B">
      <w:pPr>
        <w:pStyle w:val="Heading2"/>
        <w:numPr>
          <w:ilvl w:val="0"/>
          <w:numId w:val="0"/>
        </w:numPr>
        <w:rPr>
          <w:rFonts w:ascii="Tahoma" w:hAnsi="Tahoma" w:cs="Tahoma"/>
          <w:sz w:val="22"/>
          <w:szCs w:val="22"/>
        </w:rPr>
      </w:pPr>
      <w:bookmarkStart w:id="0" w:name="_Toc400450271"/>
      <w:r w:rsidRPr="00B96EDC">
        <w:rPr>
          <w:rFonts w:ascii="Tahoma" w:hAnsi="Tahoma" w:cs="Tahoma"/>
          <w:sz w:val="22"/>
          <w:szCs w:val="22"/>
        </w:rPr>
        <w:t xml:space="preserve">Διαδικασία </w:t>
      </w:r>
      <w:r w:rsidR="00FF1845" w:rsidRPr="00B96EDC">
        <w:rPr>
          <w:rFonts w:ascii="Tahoma" w:hAnsi="Tahoma" w:cs="Tahoma"/>
          <w:sz w:val="22"/>
          <w:szCs w:val="22"/>
        </w:rPr>
        <w:t>Δ</w:t>
      </w:r>
      <w:r w:rsidR="00826A2B" w:rsidRPr="00B96EDC">
        <w:rPr>
          <w:rFonts w:ascii="Tahoma" w:hAnsi="Tahoma" w:cs="Tahoma"/>
          <w:sz w:val="22"/>
          <w:szCs w:val="22"/>
        </w:rPr>
        <w:t>ΙΙ_11</w:t>
      </w:r>
      <w:r w:rsidRPr="00B96EDC">
        <w:rPr>
          <w:rFonts w:ascii="Tahoma" w:hAnsi="Tahoma" w:cs="Tahoma"/>
          <w:sz w:val="22"/>
          <w:szCs w:val="22"/>
        </w:rPr>
        <w:t xml:space="preserve">: </w:t>
      </w:r>
      <w:bookmarkStart w:id="1" w:name="_Toc403996530"/>
      <w:r w:rsidR="00826A2B" w:rsidRPr="00B96EDC">
        <w:rPr>
          <w:rFonts w:ascii="Tahoma" w:hAnsi="Tahoma" w:cs="Tahoma"/>
          <w:sz w:val="22"/>
          <w:szCs w:val="22"/>
        </w:rPr>
        <w:t>Επαλήθευση μακροχρόνιων υποχρεώσεων (πράξεις πλην ΚΕ)</w:t>
      </w:r>
      <w:bookmarkEnd w:id="0"/>
      <w:bookmarkEnd w:id="1"/>
    </w:p>
    <w:p w:rsidR="008A3ECE" w:rsidRPr="001A5D05" w:rsidRDefault="008A3ECE" w:rsidP="00B96ED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1E09BC" w:rsidRPr="00CE2C84" w:rsidRDefault="001A3FB7" w:rsidP="0035091A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B96EDC">
        <w:rPr>
          <w:rFonts w:ascii="Tahoma" w:hAnsi="Tahoma" w:cs="Tahoma"/>
          <w:color w:val="000000"/>
          <w:sz w:val="20"/>
          <w:szCs w:val="20"/>
        </w:rPr>
        <w:t>Ο σκοπός της διαδικασίας είναι η διασφάλιση της τήρησης των δεσμεύσεων</w:t>
      </w:r>
      <w:r w:rsidR="00AD22C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96EDC">
        <w:rPr>
          <w:rFonts w:ascii="Tahoma" w:hAnsi="Tahoma" w:cs="Tahoma"/>
          <w:color w:val="000000"/>
          <w:sz w:val="20"/>
          <w:szCs w:val="20"/>
        </w:rPr>
        <w:t>-</w:t>
      </w:r>
      <w:r w:rsidR="00AD22C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96EDC">
        <w:rPr>
          <w:rFonts w:ascii="Tahoma" w:hAnsi="Tahoma" w:cs="Tahoma"/>
          <w:color w:val="000000"/>
          <w:sz w:val="20"/>
          <w:szCs w:val="20"/>
        </w:rPr>
        <w:t>υποχρεώσεων του Δικαιούχου</w:t>
      </w:r>
      <w:r w:rsidR="00B50F14" w:rsidRPr="00B50F1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E2C84">
        <w:rPr>
          <w:rFonts w:ascii="Tahoma" w:hAnsi="Tahoma" w:cs="Tahoma"/>
          <w:color w:val="000000"/>
          <w:sz w:val="20"/>
          <w:szCs w:val="20"/>
        </w:rPr>
        <w:t xml:space="preserve">μετά την ολοκλήρωση της πράξης που απορρέουν από το άρθρο 71 του </w:t>
      </w:r>
      <w:r w:rsidR="00AD4169">
        <w:rPr>
          <w:rFonts w:ascii="Tahoma" w:hAnsi="Tahoma" w:cs="Tahoma"/>
          <w:color w:val="000000"/>
          <w:sz w:val="20"/>
          <w:szCs w:val="20"/>
        </w:rPr>
        <w:t>Κανονισμού (</w:t>
      </w:r>
      <w:r w:rsidR="00CE2C84">
        <w:rPr>
          <w:rFonts w:ascii="Tahoma" w:hAnsi="Tahoma" w:cs="Tahoma"/>
          <w:color w:val="000000"/>
          <w:sz w:val="20"/>
          <w:szCs w:val="20"/>
        </w:rPr>
        <w:t>ΕΚ</w:t>
      </w:r>
      <w:r w:rsidR="00AD4169">
        <w:rPr>
          <w:rFonts w:ascii="Tahoma" w:hAnsi="Tahoma" w:cs="Tahoma"/>
          <w:color w:val="000000"/>
          <w:sz w:val="20"/>
          <w:szCs w:val="20"/>
        </w:rPr>
        <w:t>)</w:t>
      </w:r>
      <w:r w:rsidR="00CE2C84">
        <w:rPr>
          <w:rFonts w:ascii="Tahoma" w:hAnsi="Tahoma" w:cs="Tahoma"/>
          <w:color w:val="000000"/>
          <w:sz w:val="20"/>
          <w:szCs w:val="20"/>
        </w:rPr>
        <w:t xml:space="preserve"> 1303/2013</w:t>
      </w:r>
      <w:r w:rsidR="002A418B">
        <w:rPr>
          <w:rFonts w:ascii="Tahoma" w:hAnsi="Tahoma" w:cs="Tahoma"/>
          <w:color w:val="000000"/>
          <w:sz w:val="20"/>
          <w:szCs w:val="20"/>
        </w:rPr>
        <w:t>,</w:t>
      </w:r>
      <w:r w:rsidR="00CE2C84">
        <w:rPr>
          <w:rFonts w:ascii="Tahoma" w:hAnsi="Tahoma" w:cs="Tahoma"/>
          <w:color w:val="000000"/>
          <w:sz w:val="20"/>
          <w:szCs w:val="20"/>
        </w:rPr>
        <w:t xml:space="preserve"> οι οποίες περιλαμβάνονται</w:t>
      </w:r>
      <w:r w:rsidR="006C455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E2C84">
        <w:rPr>
          <w:rFonts w:ascii="Tahoma" w:hAnsi="Tahoma" w:cs="Tahoma"/>
          <w:color w:val="000000"/>
          <w:sz w:val="20"/>
          <w:szCs w:val="20"/>
        </w:rPr>
        <w:t>σ</w:t>
      </w:r>
      <w:r w:rsidRPr="00B96EDC">
        <w:rPr>
          <w:rFonts w:ascii="Tahoma" w:hAnsi="Tahoma" w:cs="Tahoma"/>
          <w:color w:val="000000"/>
          <w:sz w:val="20"/>
          <w:szCs w:val="20"/>
        </w:rPr>
        <w:t>την</w:t>
      </w:r>
      <w:r w:rsidR="006C455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722FA" w:rsidRPr="00B722FA">
        <w:rPr>
          <w:rFonts w:ascii="Tahoma" w:hAnsi="Tahoma" w:cs="Tahoma"/>
          <w:i/>
          <w:color w:val="000000"/>
          <w:sz w:val="20"/>
          <w:szCs w:val="20"/>
        </w:rPr>
        <w:t>Α</w:t>
      </w:r>
      <w:r w:rsidR="00F43837" w:rsidRPr="00B722FA">
        <w:rPr>
          <w:rFonts w:ascii="Tahoma" w:hAnsi="Tahoma" w:cs="Tahoma"/>
          <w:i/>
          <w:color w:val="000000"/>
          <w:sz w:val="20"/>
          <w:szCs w:val="20"/>
        </w:rPr>
        <w:t xml:space="preserve">πόφαση </w:t>
      </w:r>
      <w:r w:rsidR="00B722FA" w:rsidRPr="00B722FA">
        <w:rPr>
          <w:rFonts w:ascii="Tahoma" w:hAnsi="Tahoma" w:cs="Tahoma"/>
          <w:i/>
          <w:color w:val="000000"/>
          <w:sz w:val="20"/>
          <w:szCs w:val="20"/>
        </w:rPr>
        <w:t>Έ</w:t>
      </w:r>
      <w:r w:rsidR="00F43837" w:rsidRPr="00B722FA">
        <w:rPr>
          <w:rFonts w:ascii="Tahoma" w:hAnsi="Tahoma" w:cs="Tahoma"/>
          <w:i/>
          <w:color w:val="000000"/>
          <w:sz w:val="20"/>
          <w:szCs w:val="20"/>
        </w:rPr>
        <w:t>νταξης</w:t>
      </w:r>
      <w:r w:rsidR="00B50F14" w:rsidRPr="00B50F14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D03BC3">
        <w:rPr>
          <w:rFonts w:ascii="Tahoma" w:hAnsi="Tahoma" w:cs="Tahoma"/>
          <w:color w:val="000000"/>
          <w:sz w:val="20"/>
          <w:szCs w:val="20"/>
        </w:rPr>
        <w:t>ή/</w:t>
      </w:r>
      <w:r w:rsidR="00AD22C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43837"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="00CE2C84">
        <w:rPr>
          <w:rFonts w:ascii="Tahoma" w:hAnsi="Tahoma" w:cs="Tahoma"/>
          <w:color w:val="000000"/>
          <w:sz w:val="20"/>
          <w:szCs w:val="20"/>
        </w:rPr>
        <w:t>σ</w:t>
      </w:r>
      <w:r w:rsidR="00F43837">
        <w:rPr>
          <w:rFonts w:ascii="Tahoma" w:hAnsi="Tahoma" w:cs="Tahoma"/>
          <w:color w:val="000000"/>
          <w:sz w:val="20"/>
          <w:szCs w:val="20"/>
        </w:rPr>
        <w:t>την</w:t>
      </w:r>
      <w:r w:rsidR="006C455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722FA" w:rsidRPr="00B722FA">
        <w:rPr>
          <w:rFonts w:ascii="Tahoma" w:hAnsi="Tahoma" w:cs="Tahoma"/>
          <w:i/>
          <w:color w:val="000000"/>
          <w:sz w:val="20"/>
          <w:szCs w:val="20"/>
        </w:rPr>
        <w:t>Α</w:t>
      </w:r>
      <w:r w:rsidRPr="00B722FA">
        <w:rPr>
          <w:rFonts w:ascii="Tahoma" w:hAnsi="Tahoma" w:cs="Tahoma"/>
          <w:i/>
          <w:color w:val="000000"/>
          <w:sz w:val="20"/>
          <w:szCs w:val="20"/>
        </w:rPr>
        <w:t xml:space="preserve">πόφαση </w:t>
      </w:r>
      <w:r w:rsidR="00B722FA" w:rsidRPr="00B722FA">
        <w:rPr>
          <w:rFonts w:ascii="Tahoma" w:hAnsi="Tahoma" w:cs="Tahoma"/>
          <w:i/>
          <w:color w:val="000000"/>
          <w:sz w:val="20"/>
          <w:szCs w:val="20"/>
        </w:rPr>
        <w:t>Ο</w:t>
      </w:r>
      <w:r w:rsidRPr="00B722FA">
        <w:rPr>
          <w:rFonts w:ascii="Tahoma" w:hAnsi="Tahoma" w:cs="Tahoma"/>
          <w:i/>
          <w:color w:val="000000"/>
          <w:sz w:val="20"/>
          <w:szCs w:val="20"/>
        </w:rPr>
        <w:t>λοκλήρωσης</w:t>
      </w:r>
      <w:r w:rsidRPr="00B96EDC">
        <w:rPr>
          <w:rFonts w:ascii="Tahoma" w:hAnsi="Tahoma" w:cs="Tahoma"/>
          <w:color w:val="000000"/>
          <w:sz w:val="20"/>
          <w:szCs w:val="20"/>
        </w:rPr>
        <w:t xml:space="preserve"> της </w:t>
      </w:r>
      <w:r w:rsidR="00B94327" w:rsidRPr="00B96EDC">
        <w:rPr>
          <w:rFonts w:ascii="Tahoma" w:hAnsi="Tahoma" w:cs="Tahoma"/>
          <w:color w:val="000000"/>
          <w:sz w:val="20"/>
          <w:szCs w:val="20"/>
        </w:rPr>
        <w:t>Π</w:t>
      </w:r>
      <w:r w:rsidRPr="00B96EDC">
        <w:rPr>
          <w:rFonts w:ascii="Tahoma" w:hAnsi="Tahoma" w:cs="Tahoma"/>
          <w:color w:val="000000"/>
          <w:sz w:val="20"/>
          <w:szCs w:val="20"/>
        </w:rPr>
        <w:t>ράξης.</w:t>
      </w:r>
    </w:p>
    <w:p w:rsidR="008A3ECE" w:rsidRPr="001A5D05" w:rsidRDefault="008A3ECE" w:rsidP="00B96ED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0527E7" w:rsidRDefault="009220D0" w:rsidP="0035091A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B96EDC">
        <w:rPr>
          <w:rFonts w:ascii="Tahoma" w:hAnsi="Tahoma" w:cs="Tahoma"/>
          <w:color w:val="000000"/>
          <w:sz w:val="20"/>
          <w:szCs w:val="20"/>
        </w:rPr>
        <w:t xml:space="preserve">Η διαδικασία αφορά σε ολοκληρωμένες </w:t>
      </w:r>
      <w:r w:rsidR="00B94327" w:rsidRPr="00B96EDC">
        <w:rPr>
          <w:rFonts w:ascii="Tahoma" w:hAnsi="Tahoma" w:cs="Tahoma"/>
          <w:color w:val="000000"/>
          <w:sz w:val="20"/>
          <w:szCs w:val="20"/>
        </w:rPr>
        <w:t>Π</w:t>
      </w:r>
      <w:r w:rsidRPr="00B96EDC">
        <w:rPr>
          <w:rFonts w:ascii="Tahoma" w:hAnsi="Tahoma" w:cs="Tahoma"/>
          <w:color w:val="000000"/>
          <w:sz w:val="20"/>
          <w:szCs w:val="20"/>
        </w:rPr>
        <w:t xml:space="preserve">ράξεις οι οποίες περιλαμβάνουν επενδύσεις σε υποδομές </w:t>
      </w:r>
      <w:r w:rsidR="00AB2FCC" w:rsidRPr="00B96EDC">
        <w:rPr>
          <w:rFonts w:ascii="Tahoma" w:hAnsi="Tahoma" w:cs="Tahoma"/>
          <w:color w:val="000000"/>
          <w:sz w:val="20"/>
          <w:szCs w:val="20"/>
        </w:rPr>
        <w:t xml:space="preserve">(άρθρο 71, παρ. 1) </w:t>
      </w:r>
      <w:r w:rsidR="00B22FF1" w:rsidRPr="00B96EDC">
        <w:rPr>
          <w:rFonts w:ascii="Tahoma" w:hAnsi="Tahoma" w:cs="Tahoma"/>
          <w:color w:val="000000"/>
          <w:sz w:val="20"/>
          <w:szCs w:val="20"/>
        </w:rPr>
        <w:t>συμπεριλαμβανομένων εκείνων των υποδομών που εμπίπτουν σ</w:t>
      </w:r>
      <w:r w:rsidR="000F10FC">
        <w:rPr>
          <w:rFonts w:ascii="Tahoma" w:hAnsi="Tahoma" w:cs="Tahoma"/>
          <w:color w:val="000000"/>
          <w:sz w:val="20"/>
          <w:szCs w:val="20"/>
        </w:rPr>
        <w:t>τους</w:t>
      </w:r>
      <w:r w:rsidR="00B22FF1" w:rsidRPr="00B96EDC">
        <w:rPr>
          <w:rFonts w:ascii="Tahoma" w:hAnsi="Tahoma" w:cs="Tahoma"/>
          <w:color w:val="000000"/>
          <w:sz w:val="20"/>
          <w:szCs w:val="20"/>
        </w:rPr>
        <w:t xml:space="preserve"> κανόνες κρατικών ενισχύσεων</w:t>
      </w:r>
      <w:r w:rsidR="00515233" w:rsidRPr="00B96EDC">
        <w:rPr>
          <w:rFonts w:ascii="Tahoma" w:hAnsi="Tahoma" w:cs="Tahoma"/>
          <w:color w:val="000000"/>
          <w:sz w:val="20"/>
          <w:szCs w:val="20"/>
        </w:rPr>
        <w:t>.</w:t>
      </w:r>
    </w:p>
    <w:p w:rsidR="00D03BC3" w:rsidRDefault="00396BB8" w:rsidP="0035091A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D03BC3">
        <w:rPr>
          <w:rFonts w:ascii="Tahoma" w:hAnsi="Tahoma" w:cs="Tahoma"/>
          <w:color w:val="000000"/>
          <w:sz w:val="20"/>
          <w:szCs w:val="20"/>
        </w:rPr>
        <w:t xml:space="preserve">Εξαιρούνται </w:t>
      </w:r>
      <w:r w:rsidR="002D0144" w:rsidRPr="00D03BC3">
        <w:rPr>
          <w:rFonts w:ascii="Tahoma" w:hAnsi="Tahoma" w:cs="Tahoma"/>
          <w:color w:val="000000"/>
          <w:sz w:val="20"/>
          <w:szCs w:val="20"/>
        </w:rPr>
        <w:t xml:space="preserve">από το πεδίο εφαρμογής </w:t>
      </w:r>
      <w:r w:rsidR="00D03BC3">
        <w:rPr>
          <w:rFonts w:ascii="Tahoma" w:hAnsi="Tahoma" w:cs="Tahoma"/>
          <w:color w:val="000000"/>
          <w:sz w:val="20"/>
          <w:szCs w:val="20"/>
        </w:rPr>
        <w:t>της παρούσας διαδικασ</w:t>
      </w:r>
      <w:r w:rsidR="0001295A">
        <w:rPr>
          <w:rFonts w:ascii="Tahoma" w:hAnsi="Tahoma" w:cs="Tahoma"/>
          <w:color w:val="000000"/>
          <w:sz w:val="20"/>
          <w:szCs w:val="20"/>
        </w:rPr>
        <w:t>ία</w:t>
      </w:r>
      <w:r w:rsidR="00D03BC3">
        <w:rPr>
          <w:rFonts w:ascii="Tahoma" w:hAnsi="Tahoma" w:cs="Tahoma"/>
          <w:color w:val="000000"/>
          <w:sz w:val="20"/>
          <w:szCs w:val="20"/>
        </w:rPr>
        <w:t>ς:</w:t>
      </w:r>
    </w:p>
    <w:p w:rsidR="00B836E4" w:rsidRPr="0001295A" w:rsidRDefault="00B836E4" w:rsidP="00B836E4">
      <w:pPr>
        <w:pStyle w:val="ListParagraph"/>
        <w:numPr>
          <w:ilvl w:val="0"/>
          <w:numId w:val="17"/>
        </w:numPr>
        <w:spacing w:after="120" w:line="280" w:lineRule="atLeast"/>
        <w:ind w:left="714" w:hanging="357"/>
        <w:rPr>
          <w:rFonts w:ascii="Tahoma" w:hAnsi="Tahoma" w:cs="Tahoma"/>
          <w:color w:val="000000"/>
          <w:sz w:val="20"/>
          <w:szCs w:val="20"/>
        </w:rPr>
      </w:pPr>
      <w:r w:rsidRPr="0001295A">
        <w:rPr>
          <w:rFonts w:ascii="Tahoma" w:hAnsi="Tahoma" w:cs="Tahoma"/>
          <w:color w:val="000000"/>
          <w:sz w:val="20"/>
          <w:szCs w:val="20"/>
        </w:rPr>
        <w:t>οι πράξεις κρατικών ενισχύσεων (όλων των ταμείων)</w:t>
      </w:r>
      <w:r>
        <w:rPr>
          <w:rFonts w:ascii="Tahoma" w:hAnsi="Tahoma" w:cs="Tahoma"/>
          <w:color w:val="000000"/>
          <w:sz w:val="20"/>
          <w:szCs w:val="20"/>
        </w:rPr>
        <w:t xml:space="preserve"> (βλ. Διαδικασία</w:t>
      </w:r>
      <w:r w:rsidR="00B50F14" w:rsidRPr="00B50F1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50F14">
        <w:rPr>
          <w:rFonts w:ascii="Tahoma" w:hAnsi="Tahoma" w:cs="Tahoma"/>
          <w:color w:val="000000"/>
          <w:sz w:val="20"/>
          <w:szCs w:val="20"/>
        </w:rPr>
        <w:t>ΔΙΙ_11</w:t>
      </w:r>
      <w:r>
        <w:rPr>
          <w:rFonts w:ascii="Tahoma" w:hAnsi="Tahoma" w:cs="Tahoma"/>
          <w:color w:val="000000"/>
          <w:sz w:val="20"/>
          <w:szCs w:val="20"/>
        </w:rPr>
        <w:t xml:space="preserve"> για πράξεις ΚΕ)</w:t>
      </w:r>
    </w:p>
    <w:p w:rsidR="007C4BE8" w:rsidRPr="0001295A" w:rsidRDefault="007C4BE8" w:rsidP="007C4BE8">
      <w:pPr>
        <w:pStyle w:val="ListParagraph"/>
        <w:numPr>
          <w:ilvl w:val="0"/>
          <w:numId w:val="17"/>
        </w:numPr>
        <w:spacing w:after="120" w:line="280" w:lineRule="atLeast"/>
        <w:ind w:left="714" w:hanging="357"/>
        <w:rPr>
          <w:rFonts w:ascii="Tahoma" w:hAnsi="Tahoma" w:cs="Tahoma"/>
          <w:color w:val="000000"/>
          <w:sz w:val="20"/>
          <w:szCs w:val="20"/>
        </w:rPr>
      </w:pPr>
      <w:r w:rsidRPr="0001295A">
        <w:rPr>
          <w:rFonts w:ascii="Tahoma" w:hAnsi="Tahoma" w:cs="Tahoma"/>
          <w:color w:val="000000"/>
          <w:sz w:val="20"/>
          <w:szCs w:val="20"/>
        </w:rPr>
        <w:t xml:space="preserve">οι πράξεις ΕΚΤ </w:t>
      </w:r>
    </w:p>
    <w:p w:rsidR="00D03BC3" w:rsidRPr="0001295A" w:rsidRDefault="0001295A" w:rsidP="0001295A">
      <w:pPr>
        <w:pStyle w:val="ListParagraph"/>
        <w:numPr>
          <w:ilvl w:val="0"/>
          <w:numId w:val="17"/>
        </w:numPr>
        <w:spacing w:after="120" w:line="280" w:lineRule="atLeast"/>
        <w:ind w:left="714" w:hanging="357"/>
        <w:rPr>
          <w:rFonts w:ascii="Tahoma" w:hAnsi="Tahoma" w:cs="Tahoma"/>
          <w:color w:val="000000"/>
          <w:sz w:val="20"/>
          <w:szCs w:val="20"/>
        </w:rPr>
      </w:pPr>
      <w:r w:rsidRPr="0001295A">
        <w:rPr>
          <w:rFonts w:ascii="Tahoma" w:hAnsi="Tahoma" w:cs="Tahoma"/>
          <w:color w:val="000000"/>
          <w:sz w:val="20"/>
          <w:szCs w:val="20"/>
        </w:rPr>
        <w:t xml:space="preserve">οι πράξεις που χρηματοδοτούνται από </w:t>
      </w:r>
      <w:r>
        <w:rPr>
          <w:rFonts w:ascii="Tahoma" w:hAnsi="Tahoma" w:cs="Tahoma"/>
          <w:color w:val="000000"/>
          <w:sz w:val="20"/>
          <w:szCs w:val="20"/>
        </w:rPr>
        <w:t xml:space="preserve">τα </w:t>
      </w:r>
      <w:r w:rsidR="00211DE8">
        <w:rPr>
          <w:rFonts w:ascii="Tahoma" w:hAnsi="Tahoma" w:cs="Tahoma"/>
          <w:color w:val="000000"/>
          <w:sz w:val="20"/>
          <w:szCs w:val="20"/>
        </w:rPr>
        <w:t xml:space="preserve">υπόλοιπα </w:t>
      </w:r>
      <w:r>
        <w:rPr>
          <w:rFonts w:ascii="Tahoma" w:hAnsi="Tahoma" w:cs="Tahoma"/>
          <w:color w:val="000000"/>
          <w:sz w:val="20"/>
          <w:szCs w:val="20"/>
        </w:rPr>
        <w:t xml:space="preserve">Ταμεία και δεν </w:t>
      </w:r>
      <w:r w:rsidR="007C4BE8">
        <w:rPr>
          <w:rFonts w:ascii="Tahoma" w:hAnsi="Tahoma" w:cs="Tahoma"/>
          <w:color w:val="000000"/>
          <w:sz w:val="20"/>
          <w:szCs w:val="20"/>
        </w:rPr>
        <w:t>περιλαμβάνουν επένδυση σε υποδομή</w:t>
      </w:r>
      <w:r w:rsidR="003E0287">
        <w:rPr>
          <w:rFonts w:ascii="Tahoma" w:hAnsi="Tahoma" w:cs="Tahoma"/>
          <w:color w:val="000000"/>
          <w:sz w:val="20"/>
          <w:szCs w:val="20"/>
        </w:rPr>
        <w:t>.</w:t>
      </w:r>
    </w:p>
    <w:p w:rsidR="009226FE" w:rsidRPr="001A5D05" w:rsidRDefault="009226FE" w:rsidP="00B96ED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6C4551" w:rsidRDefault="0069297D" w:rsidP="009234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80" w:lineRule="atLeast"/>
        <w:ind w:left="284" w:right="60" w:hanging="284"/>
        <w:rPr>
          <w:rFonts w:ascii="Tahoma" w:hAnsi="Tahoma" w:cs="Tahoma"/>
          <w:sz w:val="20"/>
          <w:szCs w:val="20"/>
        </w:rPr>
      </w:pPr>
      <w:r w:rsidRPr="000A54DE">
        <w:rPr>
          <w:rFonts w:ascii="Tahoma" w:hAnsi="Tahoma" w:cs="Tahoma"/>
          <w:color w:val="000000"/>
          <w:sz w:val="20"/>
          <w:szCs w:val="20"/>
        </w:rPr>
        <w:t xml:space="preserve">Κανονισμός (ΕΚ) 1303/2013: </w:t>
      </w:r>
      <w:r w:rsidRPr="000A54DE">
        <w:rPr>
          <w:rFonts w:ascii="Tahoma" w:hAnsi="Tahoma" w:cs="Tahoma"/>
          <w:sz w:val="20"/>
          <w:szCs w:val="20"/>
        </w:rPr>
        <w:t xml:space="preserve">άρθρο 71 </w:t>
      </w:r>
    </w:p>
    <w:p w:rsidR="00923487" w:rsidRPr="00B555DB" w:rsidRDefault="00774D2E" w:rsidP="00774D2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80" w:lineRule="atLeast"/>
        <w:ind w:left="284" w:right="60" w:hanging="284"/>
        <w:rPr>
          <w:rFonts w:ascii="Tahoma" w:hAnsi="Tahoma" w:cs="Tahoma"/>
          <w:color w:val="000000"/>
          <w:sz w:val="20"/>
          <w:szCs w:val="20"/>
        </w:rPr>
      </w:pPr>
      <w:r w:rsidRPr="00B555DB">
        <w:rPr>
          <w:rFonts w:ascii="Tahoma" w:hAnsi="Tahoma" w:cs="Tahoma"/>
          <w:color w:val="000000"/>
          <w:sz w:val="20"/>
          <w:szCs w:val="20"/>
        </w:rPr>
        <w:t>ΚΥΑ Δημοσιονομικών Διορθώσεων</w:t>
      </w:r>
      <w:r w:rsidR="00B555DB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</w:p>
    <w:p w:rsidR="008A3ECE" w:rsidRPr="001A5D05" w:rsidRDefault="009226FE" w:rsidP="00B96ED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797C0A" w:rsidRDefault="00797C0A" w:rsidP="00797C0A">
      <w:pPr>
        <w:pStyle w:val="ListParagraph"/>
        <w:keepNext/>
        <w:numPr>
          <w:ilvl w:val="1"/>
          <w:numId w:val="13"/>
        </w:numPr>
        <w:spacing w:before="240" w:after="120" w:line="280" w:lineRule="atLeas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Εξέταση τήρησης μακροχρόνιων υποχρεώσεων Δικαιούχου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 xml:space="preserve">Οι </w:t>
      </w:r>
      <w:r w:rsidR="00B94327" w:rsidRPr="00B96EDC">
        <w:rPr>
          <w:rFonts w:ascii="Tahoma" w:hAnsi="Tahoma" w:cs="Tahoma"/>
          <w:sz w:val="20"/>
          <w:szCs w:val="20"/>
        </w:rPr>
        <w:t>Δικαιούχοι Π</w:t>
      </w:r>
      <w:r w:rsidRPr="00B96EDC">
        <w:rPr>
          <w:rFonts w:ascii="Tahoma" w:hAnsi="Tahoma" w:cs="Tahoma"/>
          <w:sz w:val="20"/>
          <w:szCs w:val="20"/>
        </w:rPr>
        <w:t>ράξεων</w:t>
      </w:r>
      <w:r w:rsidR="00C82422">
        <w:rPr>
          <w:rFonts w:ascii="Tahoma" w:hAnsi="Tahoma" w:cs="Tahoma"/>
          <w:sz w:val="20"/>
          <w:szCs w:val="20"/>
        </w:rPr>
        <w:t xml:space="preserve"> που </w:t>
      </w:r>
      <w:r w:rsidRPr="00B96EDC">
        <w:rPr>
          <w:rFonts w:ascii="Tahoma" w:hAnsi="Tahoma" w:cs="Tahoma"/>
          <w:sz w:val="20"/>
          <w:szCs w:val="20"/>
        </w:rPr>
        <w:t xml:space="preserve"> περιλαμβάνουν επενδύσεις σε υποδομές</w:t>
      </w:r>
      <w:r w:rsidR="00FE28DC" w:rsidRPr="00B96EDC">
        <w:rPr>
          <w:rFonts w:ascii="Tahoma" w:hAnsi="Tahoma" w:cs="Tahoma"/>
          <w:sz w:val="20"/>
          <w:szCs w:val="20"/>
        </w:rPr>
        <w:t>,</w:t>
      </w:r>
      <w:r w:rsidRPr="00B96EDC">
        <w:rPr>
          <w:rFonts w:ascii="Tahoma" w:hAnsi="Tahoma" w:cs="Tahoma"/>
          <w:sz w:val="20"/>
          <w:szCs w:val="20"/>
        </w:rPr>
        <w:t xml:space="preserve"> αναλαμβάνουν υποχρεώσεις και μετά την ολοκλήρωση των </w:t>
      </w:r>
      <w:r w:rsidR="00B94327" w:rsidRPr="00B96EDC">
        <w:rPr>
          <w:rFonts w:ascii="Tahoma" w:hAnsi="Tahoma" w:cs="Tahoma"/>
          <w:sz w:val="20"/>
          <w:szCs w:val="20"/>
        </w:rPr>
        <w:t>Π</w:t>
      </w:r>
      <w:r w:rsidRPr="00B96EDC">
        <w:rPr>
          <w:rFonts w:ascii="Tahoma" w:hAnsi="Tahoma" w:cs="Tahoma"/>
          <w:sz w:val="20"/>
          <w:szCs w:val="20"/>
        </w:rPr>
        <w:t>ράξεων</w:t>
      </w:r>
      <w:r w:rsidR="00FE28DC" w:rsidRPr="00B96EDC">
        <w:rPr>
          <w:rFonts w:ascii="Tahoma" w:hAnsi="Tahoma" w:cs="Tahoma"/>
          <w:sz w:val="20"/>
          <w:szCs w:val="20"/>
        </w:rPr>
        <w:t>,</w:t>
      </w:r>
      <w:r w:rsidR="007C4BE8">
        <w:rPr>
          <w:rFonts w:ascii="Tahoma" w:hAnsi="Tahoma" w:cs="Tahoma"/>
          <w:sz w:val="20"/>
          <w:szCs w:val="20"/>
        </w:rPr>
        <w:t xml:space="preserve"> οι οποίες </w:t>
      </w:r>
      <w:r w:rsidR="00B50F14">
        <w:rPr>
          <w:rFonts w:ascii="Tahoma" w:hAnsi="Tahoma" w:cs="Tahoma"/>
          <w:sz w:val="20"/>
          <w:szCs w:val="20"/>
        </w:rPr>
        <w:t xml:space="preserve">απορρέουν από </w:t>
      </w:r>
      <w:r w:rsidR="00B50F14" w:rsidRPr="00B96EDC">
        <w:rPr>
          <w:rFonts w:ascii="Tahoma" w:hAnsi="Tahoma" w:cs="Tahoma"/>
          <w:sz w:val="20"/>
          <w:szCs w:val="20"/>
        </w:rPr>
        <w:t>το άρθρο 71</w:t>
      </w:r>
      <w:r w:rsidR="009A07CC">
        <w:rPr>
          <w:rFonts w:ascii="Tahoma" w:hAnsi="Tahoma" w:cs="Tahoma"/>
          <w:sz w:val="20"/>
          <w:szCs w:val="20"/>
        </w:rPr>
        <w:t xml:space="preserve"> </w:t>
      </w:r>
      <w:r w:rsidR="00B50F14" w:rsidRPr="00B96EDC">
        <w:rPr>
          <w:rFonts w:ascii="Tahoma" w:hAnsi="Tahoma" w:cs="Tahoma"/>
          <w:sz w:val="20"/>
          <w:szCs w:val="20"/>
        </w:rPr>
        <w:t xml:space="preserve">του Κανονισμού </w:t>
      </w:r>
      <w:r w:rsidR="00C82422">
        <w:rPr>
          <w:rFonts w:ascii="Tahoma" w:hAnsi="Tahoma" w:cs="Tahoma"/>
          <w:sz w:val="20"/>
          <w:szCs w:val="20"/>
        </w:rPr>
        <w:t xml:space="preserve">(ΕΚ) </w:t>
      </w:r>
      <w:r w:rsidR="00B50F14" w:rsidRPr="00B96EDC">
        <w:rPr>
          <w:rFonts w:ascii="Tahoma" w:hAnsi="Tahoma" w:cs="Tahoma"/>
          <w:sz w:val="20"/>
          <w:szCs w:val="20"/>
        </w:rPr>
        <w:t>1303/13</w:t>
      </w:r>
      <w:r w:rsidR="00B50F14">
        <w:rPr>
          <w:rFonts w:ascii="Tahoma" w:hAnsi="Tahoma" w:cs="Tahoma"/>
          <w:sz w:val="20"/>
          <w:szCs w:val="20"/>
        </w:rPr>
        <w:t xml:space="preserve"> και </w:t>
      </w:r>
      <w:r w:rsidR="007C4BE8">
        <w:rPr>
          <w:rFonts w:ascii="Tahoma" w:hAnsi="Tahoma" w:cs="Tahoma"/>
          <w:sz w:val="20"/>
          <w:szCs w:val="20"/>
        </w:rPr>
        <w:t>προσδιορίζονται σ</w:t>
      </w:r>
      <w:r w:rsidR="00304320" w:rsidRPr="00304320">
        <w:rPr>
          <w:rFonts w:ascii="Tahoma" w:hAnsi="Tahoma" w:cs="Tahoma"/>
          <w:sz w:val="20"/>
          <w:szCs w:val="20"/>
        </w:rPr>
        <w:t xml:space="preserve">την </w:t>
      </w:r>
      <w:r w:rsidR="00AB1011" w:rsidRPr="00AB1011">
        <w:rPr>
          <w:rFonts w:ascii="Tahoma" w:hAnsi="Tahoma" w:cs="Tahoma"/>
          <w:i/>
          <w:sz w:val="20"/>
          <w:szCs w:val="20"/>
        </w:rPr>
        <w:t>Απόφαση Έ</w:t>
      </w:r>
      <w:r w:rsidR="00304320" w:rsidRPr="00AB1011">
        <w:rPr>
          <w:rFonts w:ascii="Tahoma" w:hAnsi="Tahoma" w:cs="Tahoma"/>
          <w:i/>
          <w:sz w:val="20"/>
          <w:szCs w:val="20"/>
        </w:rPr>
        <w:t>νταξης</w:t>
      </w:r>
      <w:r w:rsidR="002D0144" w:rsidRPr="00AB1011">
        <w:rPr>
          <w:rFonts w:ascii="Tahoma" w:hAnsi="Tahoma" w:cs="Tahoma"/>
          <w:i/>
          <w:sz w:val="20"/>
          <w:szCs w:val="20"/>
        </w:rPr>
        <w:t>/</w:t>
      </w:r>
      <w:r w:rsidR="009922E7" w:rsidRPr="00AB1011">
        <w:rPr>
          <w:rFonts w:ascii="Tahoma" w:hAnsi="Tahoma" w:cs="Tahoma"/>
          <w:i/>
          <w:sz w:val="20"/>
          <w:szCs w:val="20"/>
        </w:rPr>
        <w:t xml:space="preserve"> </w:t>
      </w:r>
      <w:r w:rsidR="00AB1011" w:rsidRPr="00AB1011">
        <w:rPr>
          <w:rFonts w:ascii="Tahoma" w:hAnsi="Tahoma" w:cs="Tahoma"/>
          <w:i/>
          <w:sz w:val="20"/>
          <w:szCs w:val="20"/>
        </w:rPr>
        <w:t>Ο</w:t>
      </w:r>
      <w:r w:rsidR="002D0144" w:rsidRPr="00AB1011">
        <w:rPr>
          <w:rFonts w:ascii="Tahoma" w:hAnsi="Tahoma" w:cs="Tahoma"/>
          <w:i/>
          <w:sz w:val="20"/>
          <w:szCs w:val="20"/>
        </w:rPr>
        <w:t>λοκλήρωσης</w:t>
      </w:r>
      <w:r w:rsidR="00304320" w:rsidRPr="00304320">
        <w:rPr>
          <w:rFonts w:ascii="Tahoma" w:hAnsi="Tahoma" w:cs="Tahoma"/>
          <w:sz w:val="20"/>
          <w:szCs w:val="20"/>
        </w:rPr>
        <w:t xml:space="preserve"> </w:t>
      </w:r>
      <w:r w:rsidR="00AB1011" w:rsidRPr="00AB1011">
        <w:rPr>
          <w:rFonts w:ascii="Tahoma" w:hAnsi="Tahoma" w:cs="Tahoma"/>
          <w:i/>
          <w:sz w:val="20"/>
          <w:szCs w:val="20"/>
        </w:rPr>
        <w:t>Πράξης</w:t>
      </w:r>
      <w:r w:rsidR="00AB1011">
        <w:rPr>
          <w:rFonts w:ascii="Tahoma" w:hAnsi="Tahoma" w:cs="Tahoma"/>
          <w:sz w:val="20"/>
          <w:szCs w:val="20"/>
        </w:rPr>
        <w:t xml:space="preserve"> </w:t>
      </w:r>
      <w:r w:rsidR="00304320" w:rsidRPr="00304320">
        <w:rPr>
          <w:rFonts w:ascii="Tahoma" w:hAnsi="Tahoma" w:cs="Tahoma"/>
          <w:sz w:val="20"/>
          <w:szCs w:val="20"/>
        </w:rPr>
        <w:t xml:space="preserve">(π.χ. υποχρεώσεις για τη </w:t>
      </w:r>
      <w:r w:rsidR="00304320" w:rsidRPr="007C4BE8">
        <w:rPr>
          <w:rFonts w:ascii="Tahoma" w:hAnsi="Tahoma" w:cs="Tahoma"/>
          <w:sz w:val="20"/>
          <w:szCs w:val="20"/>
        </w:rPr>
        <w:t>δημιουργία</w:t>
      </w:r>
      <w:r w:rsidR="002D0144">
        <w:rPr>
          <w:rFonts w:ascii="Tahoma" w:hAnsi="Tahoma" w:cs="Tahoma"/>
          <w:sz w:val="20"/>
          <w:szCs w:val="20"/>
        </w:rPr>
        <w:t>/</w:t>
      </w:r>
      <w:r w:rsidR="009922E7">
        <w:rPr>
          <w:rFonts w:ascii="Tahoma" w:hAnsi="Tahoma" w:cs="Tahoma"/>
          <w:sz w:val="20"/>
          <w:szCs w:val="20"/>
        </w:rPr>
        <w:t xml:space="preserve"> </w:t>
      </w:r>
      <w:r w:rsidR="00304320" w:rsidRPr="00304320">
        <w:rPr>
          <w:rFonts w:ascii="Tahoma" w:hAnsi="Tahoma" w:cs="Tahoma"/>
          <w:sz w:val="20"/>
          <w:szCs w:val="20"/>
        </w:rPr>
        <w:t>διατήρηση θέσεων απασχόλησης)</w:t>
      </w:r>
      <w:r w:rsidR="007C4BE8">
        <w:rPr>
          <w:rFonts w:ascii="Tahoma" w:hAnsi="Tahoma" w:cs="Tahoma"/>
          <w:sz w:val="20"/>
          <w:szCs w:val="20"/>
        </w:rPr>
        <w:t>.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>Σύμφωνα με το άρθρο 71 παρ. 1</w:t>
      </w:r>
      <w:r w:rsidR="009A07CC">
        <w:rPr>
          <w:rFonts w:ascii="Tahoma" w:hAnsi="Tahoma" w:cs="Tahoma"/>
          <w:sz w:val="20"/>
          <w:szCs w:val="20"/>
        </w:rPr>
        <w:t xml:space="preserve"> του </w:t>
      </w:r>
      <w:r w:rsidR="00AD4169">
        <w:rPr>
          <w:rFonts w:ascii="Tahoma" w:hAnsi="Tahoma" w:cs="Tahoma"/>
          <w:color w:val="000000"/>
          <w:sz w:val="20"/>
          <w:szCs w:val="20"/>
        </w:rPr>
        <w:t xml:space="preserve">Κανονισμού (ΕΚ) </w:t>
      </w:r>
      <w:r w:rsidR="009A07CC" w:rsidRPr="000A54DE">
        <w:rPr>
          <w:rFonts w:ascii="Tahoma" w:hAnsi="Tahoma" w:cs="Tahoma"/>
          <w:color w:val="000000"/>
          <w:sz w:val="20"/>
          <w:szCs w:val="20"/>
        </w:rPr>
        <w:t>1303/13</w:t>
      </w:r>
      <w:r w:rsidRPr="00B96EDC">
        <w:rPr>
          <w:rFonts w:ascii="Tahoma" w:hAnsi="Tahoma" w:cs="Tahoma"/>
          <w:sz w:val="20"/>
          <w:szCs w:val="20"/>
        </w:rPr>
        <w:t xml:space="preserve">, για </w:t>
      </w:r>
      <w:r w:rsidR="00B94327" w:rsidRPr="00B96EDC">
        <w:rPr>
          <w:rFonts w:ascii="Tahoma" w:hAnsi="Tahoma" w:cs="Tahoma"/>
          <w:sz w:val="20"/>
          <w:szCs w:val="20"/>
        </w:rPr>
        <w:t>Π</w:t>
      </w:r>
      <w:r w:rsidRPr="00B96EDC">
        <w:rPr>
          <w:rFonts w:ascii="Tahoma" w:hAnsi="Tahoma" w:cs="Tahoma"/>
          <w:sz w:val="20"/>
          <w:szCs w:val="20"/>
        </w:rPr>
        <w:t>ράξεις οι οποίες περιλαμβάνουν επένδυση σε υποδομή</w:t>
      </w:r>
      <w:r w:rsidR="00AB1011">
        <w:rPr>
          <w:rFonts w:ascii="Tahoma" w:hAnsi="Tahoma" w:cs="Tahoma"/>
          <w:sz w:val="20"/>
          <w:szCs w:val="20"/>
        </w:rPr>
        <w:t>,</w:t>
      </w:r>
      <w:r w:rsidRPr="00B96EDC">
        <w:rPr>
          <w:rFonts w:ascii="Tahoma" w:hAnsi="Tahoma" w:cs="Tahoma"/>
          <w:sz w:val="20"/>
          <w:szCs w:val="20"/>
        </w:rPr>
        <w:t xml:space="preserve"> η συνεισφορά των </w:t>
      </w:r>
      <w:r w:rsidR="00B94327" w:rsidRPr="00B96EDC">
        <w:rPr>
          <w:rFonts w:ascii="Tahoma" w:hAnsi="Tahoma" w:cs="Tahoma"/>
          <w:sz w:val="20"/>
          <w:szCs w:val="20"/>
        </w:rPr>
        <w:t>Τ</w:t>
      </w:r>
      <w:r w:rsidRPr="00B96EDC">
        <w:rPr>
          <w:rFonts w:ascii="Tahoma" w:hAnsi="Tahoma" w:cs="Tahoma"/>
          <w:sz w:val="20"/>
          <w:szCs w:val="20"/>
        </w:rPr>
        <w:t>αμείων</w:t>
      </w:r>
      <w:r w:rsidR="005A37C0" w:rsidRPr="005A37C0">
        <w:rPr>
          <w:rFonts w:ascii="Tahoma" w:hAnsi="Tahoma" w:cs="Tahoma"/>
          <w:sz w:val="20"/>
          <w:szCs w:val="20"/>
        </w:rPr>
        <w:t xml:space="preserve"> </w:t>
      </w:r>
      <w:r w:rsidR="005A37C0" w:rsidRPr="00B96EDC">
        <w:rPr>
          <w:rFonts w:ascii="Tahoma" w:hAnsi="Tahoma" w:cs="Tahoma"/>
          <w:sz w:val="20"/>
          <w:szCs w:val="20"/>
        </w:rPr>
        <w:t>επιστρέφεται</w:t>
      </w:r>
      <w:r w:rsidRPr="00B96EDC">
        <w:rPr>
          <w:rFonts w:ascii="Tahoma" w:hAnsi="Tahoma" w:cs="Tahoma"/>
          <w:sz w:val="20"/>
          <w:szCs w:val="20"/>
        </w:rPr>
        <w:t xml:space="preserve">, εάν εντός </w:t>
      </w:r>
      <w:r w:rsidRPr="00AB1011">
        <w:rPr>
          <w:rFonts w:ascii="Tahoma" w:hAnsi="Tahoma" w:cs="Tahoma"/>
          <w:sz w:val="20"/>
          <w:szCs w:val="20"/>
        </w:rPr>
        <w:t>πέντε</w:t>
      </w:r>
      <w:r w:rsidR="00B41F7C" w:rsidRPr="00AB1011">
        <w:rPr>
          <w:rFonts w:ascii="Tahoma" w:hAnsi="Tahoma" w:cs="Tahoma"/>
          <w:sz w:val="20"/>
          <w:szCs w:val="20"/>
        </w:rPr>
        <w:t xml:space="preserve"> (5)</w:t>
      </w:r>
      <w:r w:rsidRPr="00AB1011">
        <w:rPr>
          <w:rFonts w:ascii="Tahoma" w:hAnsi="Tahoma" w:cs="Tahoma"/>
          <w:sz w:val="20"/>
          <w:szCs w:val="20"/>
        </w:rPr>
        <w:t xml:space="preserve"> ετών</w:t>
      </w:r>
      <w:r w:rsidRPr="00B96EDC">
        <w:rPr>
          <w:rFonts w:ascii="Tahoma" w:hAnsi="Tahoma" w:cs="Tahoma"/>
          <w:sz w:val="20"/>
          <w:szCs w:val="20"/>
        </w:rPr>
        <w:t xml:space="preserve"> από την τελική πληρωμή στο Δικαιούχο </w:t>
      </w:r>
      <w:r w:rsidR="001E748E">
        <w:rPr>
          <w:rFonts w:ascii="Tahoma" w:hAnsi="Tahoma" w:cs="Tahoma"/>
          <w:sz w:val="20"/>
          <w:szCs w:val="20"/>
        </w:rPr>
        <w:t>ή της προθεσμίας που ορίζεται στους κανόνες κρατικών ενισχύσεων</w:t>
      </w:r>
      <w:r w:rsidR="005A37C0">
        <w:rPr>
          <w:rFonts w:ascii="Tahoma" w:hAnsi="Tahoma" w:cs="Tahoma"/>
          <w:sz w:val="20"/>
          <w:szCs w:val="20"/>
        </w:rPr>
        <w:t xml:space="preserve"> </w:t>
      </w:r>
      <w:r w:rsidR="003E0287">
        <w:rPr>
          <w:rFonts w:ascii="Tahoma" w:hAnsi="Tahoma" w:cs="Tahoma"/>
          <w:sz w:val="20"/>
          <w:szCs w:val="20"/>
        </w:rPr>
        <w:t>για τις περιπτώσεις υποδομών που συνιστούν κρατική ενίσχυση</w:t>
      </w:r>
      <w:r w:rsidR="001E748E">
        <w:rPr>
          <w:rFonts w:ascii="Tahoma" w:hAnsi="Tahoma" w:cs="Tahoma"/>
          <w:sz w:val="20"/>
          <w:szCs w:val="20"/>
        </w:rPr>
        <w:t xml:space="preserve">, </w:t>
      </w:r>
      <w:r w:rsidRPr="00B96EDC">
        <w:rPr>
          <w:rFonts w:ascii="Tahoma" w:hAnsi="Tahoma" w:cs="Tahoma"/>
          <w:sz w:val="20"/>
          <w:szCs w:val="20"/>
        </w:rPr>
        <w:t>διαπιστωθ</w:t>
      </w:r>
      <w:r w:rsidR="003E0287">
        <w:rPr>
          <w:rFonts w:ascii="Tahoma" w:hAnsi="Tahoma" w:cs="Tahoma"/>
          <w:sz w:val="20"/>
          <w:szCs w:val="20"/>
        </w:rPr>
        <w:t>εί</w:t>
      </w:r>
      <w:r w:rsidRPr="00B96EDC">
        <w:rPr>
          <w:rFonts w:ascii="Tahoma" w:hAnsi="Tahoma" w:cs="Tahoma"/>
          <w:sz w:val="20"/>
          <w:szCs w:val="20"/>
        </w:rPr>
        <w:t xml:space="preserve"> οποιοδήποτε από τα ακόλουθα: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>α) παύση ή μετεγκατάσταση μιας παραγωγικής δραστηριότητας εκτός της περιοχής του Επιχειρησιακού Προγράμματος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>β) αλλαγή του ιδιοκτησιακού καθεστώτος ενός στοιχείου υποδομής το οποίο παρέχει σε μια εταιρεία ή δημόσιο οργανισμό αδικαιολόγητο πλεονέκτημα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>γ) ουσιαστική μεταβολή που επηρεάζει τη φύση, τους στόχους ή την εφαρμογή των όρων που θα μπορούσαν να υπονομεύσουν τους αρχικούς στόχους.</w:t>
      </w:r>
    </w:p>
    <w:p w:rsidR="005F514A" w:rsidRPr="00B96EDC" w:rsidRDefault="00B41F7C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Επιπλέον σ</w:t>
      </w:r>
      <w:r w:rsidR="005F514A" w:rsidRPr="00B96EDC">
        <w:rPr>
          <w:rFonts w:ascii="Tahoma" w:hAnsi="Tahoma" w:cs="Tahoma"/>
          <w:sz w:val="20"/>
          <w:szCs w:val="20"/>
        </w:rPr>
        <w:t>ύμφωνα με το άρθρο 71 παρ. 2</w:t>
      </w:r>
      <w:r w:rsidR="009A07CC">
        <w:rPr>
          <w:rFonts w:ascii="Tahoma" w:hAnsi="Tahoma" w:cs="Tahoma"/>
          <w:sz w:val="20"/>
          <w:szCs w:val="20"/>
        </w:rPr>
        <w:t xml:space="preserve"> </w:t>
      </w:r>
      <w:r w:rsidR="00AD4169">
        <w:rPr>
          <w:rFonts w:ascii="Tahoma" w:hAnsi="Tahoma" w:cs="Tahoma"/>
          <w:sz w:val="20"/>
          <w:szCs w:val="20"/>
        </w:rPr>
        <w:t xml:space="preserve">του </w:t>
      </w:r>
      <w:r w:rsidR="00AD4169">
        <w:rPr>
          <w:rFonts w:ascii="Tahoma" w:hAnsi="Tahoma" w:cs="Tahoma"/>
          <w:color w:val="000000"/>
          <w:sz w:val="20"/>
          <w:szCs w:val="20"/>
        </w:rPr>
        <w:t xml:space="preserve">Κανονισμού (ΕΚ) </w:t>
      </w:r>
      <w:r w:rsidR="009A07CC" w:rsidRPr="000A54DE">
        <w:rPr>
          <w:rFonts w:ascii="Tahoma" w:hAnsi="Tahoma" w:cs="Tahoma"/>
          <w:color w:val="000000"/>
          <w:sz w:val="20"/>
          <w:szCs w:val="20"/>
        </w:rPr>
        <w:t>1303/13</w:t>
      </w:r>
      <w:r w:rsidR="005F514A" w:rsidRPr="00B96EDC">
        <w:rPr>
          <w:rFonts w:ascii="Tahoma" w:hAnsi="Tahoma" w:cs="Tahoma"/>
          <w:sz w:val="20"/>
          <w:szCs w:val="20"/>
        </w:rPr>
        <w:t>, για Πράξεις οι οποίες περιλαμβάνουν επένδυση σε υποδομή</w:t>
      </w:r>
      <w:r w:rsidR="009A07CC">
        <w:rPr>
          <w:rFonts w:ascii="Tahoma" w:hAnsi="Tahoma" w:cs="Tahoma"/>
          <w:sz w:val="20"/>
          <w:szCs w:val="20"/>
        </w:rPr>
        <w:t>,</w:t>
      </w:r>
      <w:r w:rsidR="005F514A" w:rsidRPr="00B96EDC">
        <w:rPr>
          <w:rFonts w:ascii="Tahoma" w:hAnsi="Tahoma" w:cs="Tahoma"/>
          <w:sz w:val="20"/>
          <w:szCs w:val="20"/>
        </w:rPr>
        <w:t xml:space="preserve"> </w:t>
      </w:r>
      <w:r w:rsidR="000102F6">
        <w:rPr>
          <w:rFonts w:ascii="Tahoma" w:hAnsi="Tahoma" w:cs="Tahoma"/>
          <w:sz w:val="20"/>
          <w:szCs w:val="20"/>
        </w:rPr>
        <w:t xml:space="preserve">η </w:t>
      </w:r>
      <w:r w:rsidR="000102F6" w:rsidRPr="00B96EDC">
        <w:rPr>
          <w:rFonts w:ascii="Tahoma" w:hAnsi="Tahoma" w:cs="Tahoma"/>
          <w:sz w:val="20"/>
          <w:szCs w:val="20"/>
        </w:rPr>
        <w:t xml:space="preserve">συνεισφορά των Ταμείων </w:t>
      </w:r>
      <w:r w:rsidR="005F514A" w:rsidRPr="00B96EDC">
        <w:rPr>
          <w:rFonts w:ascii="Tahoma" w:hAnsi="Tahoma" w:cs="Tahoma"/>
          <w:sz w:val="20"/>
          <w:szCs w:val="20"/>
        </w:rPr>
        <w:t>επιστρέφεται</w:t>
      </w:r>
      <w:r w:rsidR="000102F6">
        <w:rPr>
          <w:rFonts w:ascii="Tahoma" w:hAnsi="Tahoma" w:cs="Tahoma"/>
          <w:sz w:val="20"/>
          <w:szCs w:val="20"/>
        </w:rPr>
        <w:t xml:space="preserve"> </w:t>
      </w:r>
      <w:r w:rsidR="005F514A" w:rsidRPr="00B96EDC">
        <w:rPr>
          <w:rFonts w:ascii="Tahoma" w:hAnsi="Tahoma" w:cs="Tahoma"/>
          <w:sz w:val="20"/>
          <w:szCs w:val="20"/>
        </w:rPr>
        <w:t xml:space="preserve">εάν, εντός </w:t>
      </w:r>
      <w:r w:rsidRPr="00AB1011">
        <w:rPr>
          <w:rFonts w:ascii="Tahoma" w:hAnsi="Tahoma" w:cs="Tahoma"/>
          <w:sz w:val="20"/>
          <w:szCs w:val="20"/>
        </w:rPr>
        <w:t>δέκα (</w:t>
      </w:r>
      <w:r w:rsidR="005F514A" w:rsidRPr="00AB1011">
        <w:rPr>
          <w:rFonts w:ascii="Tahoma" w:hAnsi="Tahoma" w:cs="Tahoma"/>
          <w:sz w:val="20"/>
          <w:szCs w:val="20"/>
        </w:rPr>
        <w:t>10</w:t>
      </w:r>
      <w:r w:rsidRPr="00AB1011">
        <w:rPr>
          <w:rFonts w:ascii="Tahoma" w:hAnsi="Tahoma" w:cs="Tahoma"/>
          <w:sz w:val="20"/>
          <w:szCs w:val="20"/>
        </w:rPr>
        <w:t>)</w:t>
      </w:r>
      <w:r w:rsidR="005F514A" w:rsidRPr="00AB1011">
        <w:rPr>
          <w:rFonts w:ascii="Tahoma" w:hAnsi="Tahoma" w:cs="Tahoma"/>
          <w:sz w:val="20"/>
          <w:szCs w:val="20"/>
        </w:rPr>
        <w:t xml:space="preserve"> ετών</w:t>
      </w:r>
      <w:r w:rsidR="005F514A" w:rsidRPr="00B41F7C">
        <w:rPr>
          <w:rFonts w:ascii="Tahoma" w:hAnsi="Tahoma" w:cs="Tahoma"/>
          <w:b/>
          <w:sz w:val="20"/>
          <w:szCs w:val="20"/>
        </w:rPr>
        <w:t xml:space="preserve"> </w:t>
      </w:r>
      <w:r w:rsidR="005F514A" w:rsidRPr="00B96EDC">
        <w:rPr>
          <w:rFonts w:ascii="Tahoma" w:hAnsi="Tahoma" w:cs="Tahoma"/>
          <w:sz w:val="20"/>
          <w:szCs w:val="20"/>
        </w:rPr>
        <w:t>από την τελική πληρωμή στον δικαιούχο</w:t>
      </w:r>
      <w:r w:rsidR="005A37C0">
        <w:rPr>
          <w:rFonts w:ascii="Tahoma" w:hAnsi="Tahoma" w:cs="Tahoma"/>
          <w:sz w:val="20"/>
          <w:szCs w:val="20"/>
        </w:rPr>
        <w:t>,</w:t>
      </w:r>
      <w:r w:rsidR="005F514A" w:rsidRPr="00B96EDC">
        <w:rPr>
          <w:rFonts w:ascii="Tahoma" w:hAnsi="Tahoma" w:cs="Tahoma"/>
          <w:sz w:val="20"/>
          <w:szCs w:val="20"/>
        </w:rPr>
        <w:t xml:space="preserve"> η παραγωγική δραστηριότητα μεταφέρεται εκτός </w:t>
      </w:r>
      <w:proofErr w:type="spellStart"/>
      <w:r w:rsidR="005F514A" w:rsidRPr="00B41F7C">
        <w:rPr>
          <w:rFonts w:ascii="Tahoma" w:hAnsi="Tahoma" w:cs="Tahoma"/>
          <w:sz w:val="20"/>
          <w:szCs w:val="20"/>
        </w:rPr>
        <w:t>Ευρ</w:t>
      </w:r>
      <w:proofErr w:type="spellEnd"/>
      <w:r w:rsidR="005F514A" w:rsidRPr="00B41F7C">
        <w:rPr>
          <w:rFonts w:ascii="Tahoma" w:hAnsi="Tahoma" w:cs="Tahoma"/>
          <w:sz w:val="20"/>
          <w:szCs w:val="20"/>
        </w:rPr>
        <w:t>.</w:t>
      </w:r>
      <w:r w:rsidR="005F514A" w:rsidRPr="00B96EDC">
        <w:rPr>
          <w:rFonts w:ascii="Tahoma" w:hAnsi="Tahoma" w:cs="Tahoma"/>
          <w:sz w:val="20"/>
          <w:szCs w:val="20"/>
        </w:rPr>
        <w:t xml:space="preserve"> Ένωσης,</w:t>
      </w:r>
      <w:r w:rsidR="000102F6">
        <w:rPr>
          <w:rFonts w:ascii="Tahoma" w:hAnsi="Tahoma" w:cs="Tahoma"/>
          <w:sz w:val="20"/>
          <w:szCs w:val="20"/>
        </w:rPr>
        <w:t xml:space="preserve"> </w:t>
      </w:r>
      <w:r w:rsidR="000E0F6C">
        <w:rPr>
          <w:rFonts w:ascii="Tahoma" w:hAnsi="Tahoma" w:cs="Tahoma"/>
          <w:sz w:val="20"/>
          <w:szCs w:val="20"/>
        </w:rPr>
        <w:t>εκτός αν ο Δ</w:t>
      </w:r>
      <w:r w:rsidR="005F514A" w:rsidRPr="00B41F7C">
        <w:rPr>
          <w:rFonts w:ascii="Tahoma" w:hAnsi="Tahoma" w:cs="Tahoma"/>
          <w:sz w:val="20"/>
          <w:szCs w:val="20"/>
        </w:rPr>
        <w:t xml:space="preserve">ικαιούχος </w:t>
      </w:r>
      <w:r w:rsidR="005F514A" w:rsidRPr="00AB1011">
        <w:rPr>
          <w:rFonts w:ascii="Tahoma" w:hAnsi="Tahoma" w:cs="Tahoma"/>
          <w:sz w:val="20"/>
          <w:szCs w:val="20"/>
        </w:rPr>
        <w:t>είναι</w:t>
      </w:r>
      <w:r w:rsidR="00AB1011" w:rsidRPr="00AB1011">
        <w:rPr>
          <w:rFonts w:ascii="Tahoma" w:hAnsi="Tahoma" w:cs="Tahoma"/>
          <w:sz w:val="20"/>
          <w:szCs w:val="20"/>
        </w:rPr>
        <w:t xml:space="preserve"> </w:t>
      </w:r>
      <w:r w:rsidR="005F514A" w:rsidRPr="00AB1011">
        <w:rPr>
          <w:rFonts w:ascii="Tahoma" w:hAnsi="Tahoma" w:cs="Tahoma"/>
          <w:sz w:val="20"/>
          <w:szCs w:val="20"/>
        </w:rPr>
        <w:t>ΜΜΕ</w:t>
      </w:r>
      <w:r w:rsidR="005F514A" w:rsidRPr="00B96EDC">
        <w:rPr>
          <w:rFonts w:ascii="Tahoma" w:hAnsi="Tahoma" w:cs="Tahoma"/>
          <w:sz w:val="20"/>
          <w:szCs w:val="20"/>
        </w:rPr>
        <w:t xml:space="preserve">. </w:t>
      </w:r>
      <w:r w:rsidRPr="00B96EDC">
        <w:rPr>
          <w:rFonts w:ascii="Tahoma" w:hAnsi="Tahoma" w:cs="Tahoma"/>
          <w:sz w:val="20"/>
          <w:szCs w:val="20"/>
        </w:rPr>
        <w:t>Όταν η συνεισφορά από τα Ταμεία λαμβάνει τη μορφή κρατικής ενίσχυσης η περίοδος των 10 ετών αντικαθίσταται από τη</w:t>
      </w:r>
      <w:r w:rsidR="000102F6">
        <w:rPr>
          <w:rFonts w:ascii="Tahoma" w:hAnsi="Tahoma" w:cs="Tahoma"/>
          <w:sz w:val="20"/>
          <w:szCs w:val="20"/>
        </w:rPr>
        <w:t>ν</w:t>
      </w:r>
      <w:r w:rsidRPr="00B96EDC">
        <w:rPr>
          <w:rFonts w:ascii="Tahoma" w:hAnsi="Tahoma" w:cs="Tahoma"/>
          <w:sz w:val="20"/>
          <w:szCs w:val="20"/>
        </w:rPr>
        <w:t xml:space="preserve"> ισχύουσα προθεσμία σύμφωνα με τους κανόνες περί κρατικών ενισχύσεων.</w:t>
      </w:r>
    </w:p>
    <w:p w:rsidR="0068386E" w:rsidRPr="00B96EDC" w:rsidRDefault="0068386E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 xml:space="preserve">Οι υποχρεώσεις αυτές του Δικαιούχου ή του φορέα που έχει την ευθύνη της λειτουργίας της υποδομής, καθώς και η προβλεπόμενη διάρκεια τήρησής τους καταγράφεται στην </w:t>
      </w:r>
      <w:r w:rsidR="00B22FF1" w:rsidRPr="00B96EDC">
        <w:rPr>
          <w:rFonts w:ascii="Tahoma" w:hAnsi="Tahoma" w:cs="Tahoma"/>
          <w:i/>
          <w:sz w:val="20"/>
          <w:szCs w:val="20"/>
        </w:rPr>
        <w:t xml:space="preserve">Απόφαση </w:t>
      </w:r>
      <w:r w:rsidR="00D50FAE">
        <w:rPr>
          <w:rFonts w:ascii="Tahoma" w:hAnsi="Tahoma" w:cs="Tahoma"/>
          <w:i/>
          <w:sz w:val="20"/>
          <w:szCs w:val="20"/>
        </w:rPr>
        <w:t>Έ</w:t>
      </w:r>
      <w:r w:rsidR="00B22FF1" w:rsidRPr="00B96EDC">
        <w:rPr>
          <w:rFonts w:ascii="Tahoma" w:hAnsi="Tahoma" w:cs="Tahoma"/>
          <w:i/>
          <w:sz w:val="20"/>
          <w:szCs w:val="20"/>
        </w:rPr>
        <w:t>νταξης</w:t>
      </w:r>
      <w:r w:rsidR="00AB1011">
        <w:rPr>
          <w:rFonts w:ascii="Tahoma" w:hAnsi="Tahoma" w:cs="Tahoma"/>
          <w:i/>
          <w:sz w:val="20"/>
          <w:szCs w:val="20"/>
        </w:rPr>
        <w:t xml:space="preserve"> </w:t>
      </w:r>
      <w:r w:rsidR="00B22FF1" w:rsidRPr="00860C68">
        <w:rPr>
          <w:rFonts w:ascii="Tahoma" w:hAnsi="Tahoma" w:cs="Tahoma"/>
          <w:i/>
          <w:sz w:val="20"/>
          <w:szCs w:val="20"/>
        </w:rPr>
        <w:t>(Υποχρεώσεις Δικαιούχων)</w:t>
      </w:r>
      <w:r w:rsidR="00B22FF1" w:rsidRPr="00B96EDC">
        <w:rPr>
          <w:rFonts w:ascii="Tahoma" w:hAnsi="Tahoma" w:cs="Tahoma"/>
          <w:sz w:val="20"/>
          <w:szCs w:val="20"/>
        </w:rPr>
        <w:t xml:space="preserve"> </w:t>
      </w:r>
      <w:r w:rsidR="00100237">
        <w:rPr>
          <w:rFonts w:ascii="Tahoma" w:hAnsi="Tahoma" w:cs="Tahoma"/>
          <w:sz w:val="20"/>
          <w:szCs w:val="20"/>
        </w:rPr>
        <w:t xml:space="preserve">ή/ </w:t>
      </w:r>
      <w:r w:rsidR="00B22FF1" w:rsidRPr="00B96EDC">
        <w:rPr>
          <w:rFonts w:ascii="Tahoma" w:hAnsi="Tahoma" w:cs="Tahoma"/>
          <w:sz w:val="20"/>
          <w:szCs w:val="20"/>
        </w:rPr>
        <w:t xml:space="preserve">και στην </w:t>
      </w:r>
      <w:r w:rsidRPr="00B96EDC">
        <w:rPr>
          <w:rFonts w:ascii="Tahoma" w:hAnsi="Tahoma" w:cs="Tahoma"/>
          <w:i/>
          <w:sz w:val="20"/>
          <w:szCs w:val="20"/>
        </w:rPr>
        <w:t xml:space="preserve">Απόφαση Ολοκλήρωσης της </w:t>
      </w:r>
      <w:r w:rsidR="00B94327" w:rsidRPr="00B96EDC">
        <w:rPr>
          <w:rFonts w:ascii="Tahoma" w:hAnsi="Tahoma" w:cs="Tahoma"/>
          <w:i/>
          <w:sz w:val="20"/>
          <w:szCs w:val="20"/>
        </w:rPr>
        <w:t>Π</w:t>
      </w:r>
      <w:r w:rsidRPr="00B96EDC">
        <w:rPr>
          <w:rFonts w:ascii="Tahoma" w:hAnsi="Tahoma" w:cs="Tahoma"/>
          <w:i/>
          <w:sz w:val="20"/>
          <w:szCs w:val="20"/>
        </w:rPr>
        <w:t>ράξης</w:t>
      </w:r>
      <w:r w:rsidRPr="00B96EDC">
        <w:rPr>
          <w:rFonts w:ascii="Tahoma" w:hAnsi="Tahoma" w:cs="Tahoma"/>
          <w:sz w:val="20"/>
          <w:szCs w:val="20"/>
        </w:rPr>
        <w:t>.</w:t>
      </w:r>
    </w:p>
    <w:p w:rsidR="00AD4169" w:rsidRDefault="00AD4169" w:rsidP="00AD4169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lastRenderedPageBreak/>
        <w:t xml:space="preserve">Η επαλήθευση της τήρησης των μακροχρόνιων υποχρεώσεων που έχει ο δικαιούχος μετά την ολοκλήρωση της πράξης ή ο φορέας που αναλαμβάνει της υποχρεώσεις αυτές, πραγματοποιείται με ευθύνη </w:t>
      </w:r>
      <w:r>
        <w:rPr>
          <w:rFonts w:ascii="Tahoma" w:hAnsi="Tahoma" w:cs="Tahoma"/>
          <w:sz w:val="20"/>
          <w:szCs w:val="20"/>
        </w:rPr>
        <w:t xml:space="preserve">της </w:t>
      </w:r>
      <w:r w:rsidRPr="00B96EDC">
        <w:rPr>
          <w:rFonts w:ascii="Tahoma" w:hAnsi="Tahoma" w:cs="Tahoma"/>
          <w:sz w:val="20"/>
          <w:szCs w:val="20"/>
        </w:rPr>
        <w:t xml:space="preserve">αρμόδιας ΔΑ </w:t>
      </w:r>
      <w:r>
        <w:rPr>
          <w:rFonts w:ascii="Tahoma" w:hAnsi="Tahoma" w:cs="Tahoma"/>
          <w:sz w:val="20"/>
          <w:szCs w:val="20"/>
        </w:rPr>
        <w:t>του ΕΠ ή του φορέα ο οποίος αναλαμβάνει τις οικείες αρμοδιότητες της ΔΑ. Στις περιπτώσεις που η διαχείριση της πράξης έχει εκχωρηθεί σε Ενδιάμεσο Φορέα (ΕΦ), η επαλήθευση πραγματοποιείται με ευθύνη του ΕΦ εφόσον προβλέπεται στην σχετική πράξη εκχώρησης αρμοδιοτήτων (ΥΑ/ ΚΥΑ) και η τελευταία παραμένει σε ισχύ.</w:t>
      </w:r>
    </w:p>
    <w:p w:rsidR="005410B5" w:rsidRPr="00B41F7C" w:rsidRDefault="009F1331" w:rsidP="00B96EDC">
      <w:pPr>
        <w:pStyle w:val="ListParagraph"/>
        <w:keepNext/>
        <w:numPr>
          <w:ilvl w:val="1"/>
          <w:numId w:val="13"/>
        </w:numPr>
        <w:spacing w:before="240" w:after="120" w:line="280" w:lineRule="atLeast"/>
        <w:ind w:left="357" w:hanging="357"/>
        <w:rPr>
          <w:rFonts w:ascii="Tahoma" w:hAnsi="Tahoma" w:cs="Tahoma"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Κατάρτιση Π</w:t>
      </w:r>
      <w:r w:rsidR="005410B5" w:rsidRPr="00753F1F">
        <w:rPr>
          <w:rFonts w:ascii="Tahoma" w:hAnsi="Tahoma" w:cs="Tahoma"/>
          <w:b/>
          <w:bCs/>
          <w:color w:val="990000"/>
          <w:sz w:val="20"/>
          <w:szCs w:val="20"/>
        </w:rPr>
        <w:t>ρογράμματος επαληθεύσεων τήρησης μ</w:t>
      </w:r>
      <w:r w:rsidR="006C4551">
        <w:rPr>
          <w:rFonts w:ascii="Tahoma" w:hAnsi="Tahoma" w:cs="Tahoma"/>
          <w:b/>
          <w:bCs/>
          <w:color w:val="990000"/>
          <w:sz w:val="20"/>
          <w:szCs w:val="20"/>
        </w:rPr>
        <w:t xml:space="preserve">ακροχρόνιων </w:t>
      </w:r>
      <w:r w:rsidR="005410B5" w:rsidRPr="00753F1F">
        <w:rPr>
          <w:rFonts w:ascii="Tahoma" w:hAnsi="Tahoma" w:cs="Tahoma"/>
          <w:b/>
          <w:bCs/>
          <w:color w:val="990000"/>
          <w:sz w:val="20"/>
          <w:szCs w:val="20"/>
        </w:rPr>
        <w:t xml:space="preserve"> υποχρεώσεων</w:t>
      </w:r>
      <w:r w:rsidR="005A37C0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="00B06C61" w:rsidRPr="00753F1F">
        <w:rPr>
          <w:rFonts w:ascii="Tahoma" w:hAnsi="Tahoma" w:cs="Tahoma"/>
          <w:bCs/>
          <w:color w:val="990000"/>
          <w:sz w:val="20"/>
          <w:szCs w:val="20"/>
        </w:rPr>
        <w:t>(</w:t>
      </w:r>
      <w:r w:rsidR="00B836E4">
        <w:rPr>
          <w:rFonts w:ascii="Tahoma" w:hAnsi="Tahoma" w:cs="Tahoma"/>
          <w:bCs/>
          <w:color w:val="990000"/>
          <w:sz w:val="20"/>
          <w:szCs w:val="20"/>
        </w:rPr>
        <w:t xml:space="preserve">που απορρέουν από το </w:t>
      </w:r>
      <w:r w:rsidR="00B06C61" w:rsidRPr="00B41F7C">
        <w:rPr>
          <w:rFonts w:ascii="Tahoma" w:hAnsi="Tahoma" w:cs="Tahoma"/>
          <w:bCs/>
          <w:color w:val="990000"/>
          <w:sz w:val="20"/>
          <w:szCs w:val="20"/>
        </w:rPr>
        <w:t xml:space="preserve">άρθρο 71 του </w:t>
      </w:r>
      <w:r w:rsidR="00B41F7C" w:rsidRPr="00B41F7C">
        <w:rPr>
          <w:rFonts w:ascii="Tahoma" w:hAnsi="Tahoma" w:cs="Tahoma"/>
          <w:bCs/>
          <w:color w:val="990000"/>
          <w:sz w:val="20"/>
          <w:szCs w:val="20"/>
        </w:rPr>
        <w:t>ΕΚ 1303/13)</w:t>
      </w:r>
    </w:p>
    <w:p w:rsidR="00BE7BC2" w:rsidRDefault="00AB1011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Ο αρμόδιος φορέας καταρτίζει </w:t>
      </w:r>
      <w:r w:rsidR="009F1331">
        <w:rPr>
          <w:rFonts w:ascii="Tahoma" w:hAnsi="Tahoma" w:cs="Tahoma"/>
          <w:sz w:val="20"/>
          <w:szCs w:val="20"/>
        </w:rPr>
        <w:t>Π</w:t>
      </w:r>
      <w:r w:rsidR="005410B5" w:rsidRPr="00B96EDC">
        <w:rPr>
          <w:rFonts w:ascii="Tahoma" w:hAnsi="Tahoma" w:cs="Tahoma"/>
          <w:sz w:val="20"/>
          <w:szCs w:val="20"/>
        </w:rPr>
        <w:t xml:space="preserve">ρόγραμμα των επαληθεύσεων τήρησης </w:t>
      </w:r>
      <w:r w:rsidR="006C4551">
        <w:rPr>
          <w:rFonts w:ascii="Tahoma" w:hAnsi="Tahoma" w:cs="Tahoma"/>
          <w:sz w:val="20"/>
          <w:szCs w:val="20"/>
        </w:rPr>
        <w:t xml:space="preserve">μακροχρόνιων </w:t>
      </w:r>
      <w:r w:rsidR="005410B5" w:rsidRPr="00B96EDC">
        <w:rPr>
          <w:rFonts w:ascii="Tahoma" w:hAnsi="Tahoma" w:cs="Tahoma"/>
          <w:sz w:val="20"/>
          <w:szCs w:val="20"/>
        </w:rPr>
        <w:t xml:space="preserve">υποχρεώσεων </w:t>
      </w:r>
      <w:r w:rsidR="006C4551" w:rsidRPr="00B96EDC">
        <w:rPr>
          <w:rFonts w:ascii="Tahoma" w:hAnsi="Tahoma" w:cs="Tahoma"/>
          <w:sz w:val="20"/>
          <w:szCs w:val="20"/>
        </w:rPr>
        <w:t>ετησίως</w:t>
      </w:r>
      <w:r w:rsidR="006C4551" w:rsidRPr="00B96EDC" w:rsidDel="006C4551">
        <w:rPr>
          <w:rFonts w:ascii="Tahoma" w:hAnsi="Tahoma" w:cs="Tahoma"/>
          <w:sz w:val="20"/>
          <w:szCs w:val="20"/>
        </w:rPr>
        <w:t xml:space="preserve"> </w:t>
      </w:r>
      <w:r w:rsidR="00BE7BC2">
        <w:rPr>
          <w:rFonts w:ascii="Tahoma" w:hAnsi="Tahoma" w:cs="Tahoma"/>
          <w:sz w:val="20"/>
          <w:szCs w:val="20"/>
        </w:rPr>
        <w:t xml:space="preserve">και μέχρι την παρέλευση πενταετίας από την ημερομηνία </w:t>
      </w:r>
      <w:r w:rsidR="00100237">
        <w:rPr>
          <w:rFonts w:ascii="Tahoma" w:hAnsi="Tahoma" w:cs="Tahoma"/>
          <w:sz w:val="20"/>
          <w:szCs w:val="20"/>
        </w:rPr>
        <w:t xml:space="preserve">απόφασης </w:t>
      </w:r>
      <w:r w:rsidR="00BE7BC2">
        <w:rPr>
          <w:rFonts w:ascii="Tahoma" w:hAnsi="Tahoma" w:cs="Tahoma"/>
          <w:sz w:val="20"/>
          <w:szCs w:val="20"/>
        </w:rPr>
        <w:t xml:space="preserve">ολοκλήρωσης ή </w:t>
      </w:r>
      <w:r w:rsidR="009E34E2">
        <w:rPr>
          <w:rFonts w:ascii="Tahoma" w:hAnsi="Tahoma" w:cs="Tahoma"/>
          <w:sz w:val="20"/>
          <w:szCs w:val="20"/>
        </w:rPr>
        <w:t xml:space="preserve">της </w:t>
      </w:r>
      <w:r w:rsidR="00BE7BC2">
        <w:rPr>
          <w:rFonts w:ascii="Tahoma" w:hAnsi="Tahoma" w:cs="Tahoma"/>
          <w:sz w:val="20"/>
          <w:szCs w:val="20"/>
        </w:rPr>
        <w:t xml:space="preserve">τελικής πληρωμής στο δικαιούχο </w:t>
      </w:r>
      <w:r w:rsidR="006C4551">
        <w:rPr>
          <w:rFonts w:ascii="Tahoma" w:hAnsi="Tahoma" w:cs="Tahoma"/>
          <w:sz w:val="20"/>
          <w:szCs w:val="20"/>
        </w:rPr>
        <w:t xml:space="preserve">της </w:t>
      </w:r>
      <w:r w:rsidR="00BE7BC2">
        <w:rPr>
          <w:rFonts w:ascii="Tahoma" w:hAnsi="Tahoma" w:cs="Tahoma"/>
          <w:sz w:val="20"/>
          <w:szCs w:val="20"/>
        </w:rPr>
        <w:t>τελευταίας πράξης του ΕΠ.</w:t>
      </w:r>
    </w:p>
    <w:p w:rsidR="000725F8" w:rsidRDefault="00246CAD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Το πρόγραμμα π</w:t>
      </w:r>
      <w:r w:rsidR="005410B5" w:rsidRPr="00B96EDC">
        <w:rPr>
          <w:rFonts w:ascii="Tahoma" w:hAnsi="Tahoma" w:cs="Tahoma"/>
          <w:sz w:val="20"/>
          <w:szCs w:val="20"/>
        </w:rPr>
        <w:t>εριλαμβάνει</w:t>
      </w:r>
      <w:r w:rsidR="00BA62C8">
        <w:rPr>
          <w:rFonts w:ascii="Tahoma" w:hAnsi="Tahoma" w:cs="Tahoma"/>
          <w:sz w:val="20"/>
          <w:szCs w:val="20"/>
        </w:rPr>
        <w:t xml:space="preserve"> </w:t>
      </w:r>
      <w:r w:rsidR="005410B5" w:rsidRPr="00B96EDC">
        <w:rPr>
          <w:rFonts w:ascii="Tahoma" w:hAnsi="Tahoma" w:cs="Tahoma"/>
          <w:sz w:val="20"/>
          <w:szCs w:val="20"/>
        </w:rPr>
        <w:t xml:space="preserve">δείγμα του πληθυσμού των ολοκληρωμένων </w:t>
      </w:r>
      <w:r w:rsidR="00820522" w:rsidRPr="00B96EDC">
        <w:rPr>
          <w:rFonts w:ascii="Tahoma" w:hAnsi="Tahoma" w:cs="Tahoma"/>
          <w:sz w:val="20"/>
          <w:szCs w:val="20"/>
        </w:rPr>
        <w:t>Π</w:t>
      </w:r>
      <w:r w:rsidR="005410B5" w:rsidRPr="00B96EDC">
        <w:rPr>
          <w:rFonts w:ascii="Tahoma" w:hAnsi="Tahoma" w:cs="Tahoma"/>
          <w:sz w:val="20"/>
          <w:szCs w:val="20"/>
        </w:rPr>
        <w:t>ράξεων</w:t>
      </w:r>
      <w:r w:rsidR="00BE25C1">
        <w:rPr>
          <w:rFonts w:ascii="Tahoma" w:hAnsi="Tahoma" w:cs="Tahoma"/>
          <w:sz w:val="20"/>
          <w:szCs w:val="20"/>
        </w:rPr>
        <w:t xml:space="preserve"> οι οποίες εμπίπτουν στο πεδίο εφαρμογής της διαδικασίας </w:t>
      </w:r>
      <w:r w:rsidR="006C4551">
        <w:rPr>
          <w:rFonts w:ascii="Tahoma" w:hAnsi="Tahoma" w:cs="Tahoma"/>
          <w:sz w:val="20"/>
          <w:szCs w:val="20"/>
        </w:rPr>
        <w:t xml:space="preserve">και </w:t>
      </w:r>
      <w:r w:rsidR="00BA62C8">
        <w:rPr>
          <w:rFonts w:ascii="Tahoma" w:hAnsi="Tahoma" w:cs="Tahoma"/>
          <w:sz w:val="20"/>
          <w:szCs w:val="20"/>
        </w:rPr>
        <w:t xml:space="preserve">το οποίο προσδιορίζεται </w:t>
      </w:r>
      <w:r w:rsidR="0023494F">
        <w:rPr>
          <w:rFonts w:ascii="Tahoma" w:hAnsi="Tahoma" w:cs="Tahoma"/>
          <w:sz w:val="20"/>
          <w:szCs w:val="20"/>
        </w:rPr>
        <w:t xml:space="preserve">σύμφωνα με τη μέθοδο δειγματοληψίας </w:t>
      </w:r>
      <w:r w:rsidR="006C4551">
        <w:rPr>
          <w:rFonts w:ascii="Tahoma" w:hAnsi="Tahoma" w:cs="Tahoma"/>
          <w:sz w:val="20"/>
          <w:szCs w:val="20"/>
        </w:rPr>
        <w:t xml:space="preserve">για την επαλήθευση </w:t>
      </w:r>
      <w:r w:rsidR="0023494F">
        <w:rPr>
          <w:rFonts w:ascii="Tahoma" w:hAnsi="Tahoma" w:cs="Tahoma"/>
          <w:sz w:val="20"/>
          <w:szCs w:val="20"/>
        </w:rPr>
        <w:t>τήρη</w:t>
      </w:r>
      <w:r w:rsidR="00BA62C8">
        <w:rPr>
          <w:rFonts w:ascii="Tahoma" w:hAnsi="Tahoma" w:cs="Tahoma"/>
          <w:sz w:val="20"/>
          <w:szCs w:val="20"/>
        </w:rPr>
        <w:t>σ</w:t>
      </w:r>
      <w:r w:rsidR="0023494F">
        <w:rPr>
          <w:rFonts w:ascii="Tahoma" w:hAnsi="Tahoma" w:cs="Tahoma"/>
          <w:sz w:val="20"/>
          <w:szCs w:val="20"/>
        </w:rPr>
        <w:t xml:space="preserve">ης μακροχρόνιων υποχρεώσεων που περιλαμβάνεται στον </w:t>
      </w:r>
      <w:r w:rsidR="000725F8" w:rsidRPr="00B96EDC">
        <w:rPr>
          <w:rFonts w:ascii="Tahoma" w:hAnsi="Tahoma" w:cs="Tahoma"/>
          <w:i/>
          <w:sz w:val="20"/>
          <w:szCs w:val="20"/>
        </w:rPr>
        <w:t xml:space="preserve">«Οδηγό </w:t>
      </w:r>
      <w:r w:rsidR="00927B2D">
        <w:rPr>
          <w:rFonts w:ascii="Tahoma" w:hAnsi="Tahoma" w:cs="Tahoma"/>
          <w:i/>
          <w:sz w:val="20"/>
          <w:szCs w:val="20"/>
        </w:rPr>
        <w:t>Διαχειριστικών Επαληθεύσεων</w:t>
      </w:r>
      <w:r w:rsidR="000725F8" w:rsidRPr="00B96EDC">
        <w:rPr>
          <w:rFonts w:ascii="Tahoma" w:hAnsi="Tahoma" w:cs="Tahoma"/>
          <w:i/>
          <w:sz w:val="20"/>
          <w:szCs w:val="20"/>
        </w:rPr>
        <w:t xml:space="preserve"> Πράξεων συγχρηματοδοτούμενων από τα </w:t>
      </w:r>
      <w:r w:rsidR="00927B2D">
        <w:rPr>
          <w:rFonts w:ascii="Tahoma" w:hAnsi="Tahoma" w:cs="Tahoma"/>
          <w:i/>
          <w:sz w:val="20"/>
          <w:szCs w:val="20"/>
        </w:rPr>
        <w:t>ΕΠ</w:t>
      </w:r>
      <w:r w:rsidR="000725F8" w:rsidRPr="00B96EDC">
        <w:rPr>
          <w:rFonts w:ascii="Tahoma" w:hAnsi="Tahoma" w:cs="Tahoma"/>
          <w:i/>
          <w:sz w:val="20"/>
          <w:szCs w:val="20"/>
        </w:rPr>
        <w:t xml:space="preserve"> του στόχου Επενδύσεις στην ανάπτυξη και στην απασχόληση»</w:t>
      </w:r>
      <w:r w:rsidR="000725F8" w:rsidRPr="00B96EDC">
        <w:rPr>
          <w:rFonts w:ascii="Tahoma" w:hAnsi="Tahoma" w:cs="Tahoma"/>
          <w:sz w:val="20"/>
          <w:szCs w:val="20"/>
        </w:rPr>
        <w:t>.</w:t>
      </w:r>
    </w:p>
    <w:p w:rsidR="00174757" w:rsidRDefault="00174757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ετήσιο </w:t>
      </w:r>
      <w:r w:rsidR="00CA69CC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 δύναται να αναθεωρείται κατά τη διάρκεια του έτους</w:t>
      </w:r>
      <w:r w:rsidR="009F1331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BB6081">
        <w:rPr>
          <w:rFonts w:ascii="Tahoma" w:hAnsi="Tahoma" w:cs="Tahoma"/>
          <w:sz w:val="20"/>
          <w:szCs w:val="20"/>
        </w:rPr>
        <w:t>προκειμένου να συμπεριληφθούν στον προγραμματισμό Π</w:t>
      </w:r>
      <w:r w:rsidR="00CA69CC">
        <w:rPr>
          <w:rFonts w:ascii="Tahoma" w:hAnsi="Tahoma" w:cs="Tahoma"/>
          <w:sz w:val="20"/>
          <w:szCs w:val="20"/>
        </w:rPr>
        <w:t>ρ</w:t>
      </w:r>
      <w:r w:rsidR="00BB6081">
        <w:rPr>
          <w:rFonts w:ascii="Tahoma" w:hAnsi="Tahoma" w:cs="Tahoma"/>
          <w:sz w:val="20"/>
          <w:szCs w:val="20"/>
        </w:rPr>
        <w:t>άξεις</w:t>
      </w:r>
      <w:r w:rsidR="00CA69CC">
        <w:rPr>
          <w:rFonts w:ascii="Tahoma" w:hAnsi="Tahoma" w:cs="Tahoma"/>
          <w:sz w:val="20"/>
          <w:szCs w:val="20"/>
        </w:rPr>
        <w:t xml:space="preserve"> </w:t>
      </w:r>
      <w:r w:rsidR="00BB6081" w:rsidRPr="00BB6081">
        <w:rPr>
          <w:rFonts w:ascii="Tahoma" w:hAnsi="Tahoma" w:cs="Tahoma"/>
          <w:sz w:val="20"/>
          <w:szCs w:val="20"/>
        </w:rPr>
        <w:t xml:space="preserve">για τις οποίες </w:t>
      </w:r>
      <w:r w:rsidR="00BB6081">
        <w:rPr>
          <w:rFonts w:ascii="Tahoma" w:hAnsi="Tahoma" w:cs="Tahoma"/>
          <w:sz w:val="20"/>
          <w:szCs w:val="20"/>
        </w:rPr>
        <w:t xml:space="preserve">περιέρχονται σε γνώση της </w:t>
      </w:r>
      <w:r w:rsidR="00BB6081" w:rsidRPr="00BB6081">
        <w:rPr>
          <w:rFonts w:ascii="Tahoma" w:hAnsi="Tahoma" w:cs="Tahoma"/>
          <w:sz w:val="20"/>
          <w:szCs w:val="20"/>
        </w:rPr>
        <w:t>ΔΑ/ ΕΦ με οποιοδήποτε τρόπο  πληροφορίες σχετικές με πιθανή μη τήρηση των μακροχρόνιων υποχρεώσεων (π.χ. καταγγελίες, δημοσιεύματα)</w:t>
      </w:r>
      <w:r>
        <w:rPr>
          <w:rFonts w:ascii="Tahoma" w:hAnsi="Tahoma" w:cs="Tahoma"/>
          <w:sz w:val="20"/>
          <w:szCs w:val="20"/>
        </w:rPr>
        <w:t xml:space="preserve">. Η επαλήθευση της τήρησης των μακροχρόνιων υποχρεώσεων </w:t>
      </w:r>
      <w:r w:rsidR="00BB6081">
        <w:rPr>
          <w:rFonts w:ascii="Tahoma" w:hAnsi="Tahoma" w:cs="Tahoma"/>
          <w:sz w:val="20"/>
          <w:szCs w:val="20"/>
        </w:rPr>
        <w:t xml:space="preserve">των </w:t>
      </w:r>
      <w:r w:rsidR="00AD22C2">
        <w:rPr>
          <w:rFonts w:ascii="Tahoma" w:hAnsi="Tahoma" w:cs="Tahoma"/>
          <w:sz w:val="20"/>
          <w:szCs w:val="20"/>
        </w:rPr>
        <w:t>Π</w:t>
      </w:r>
      <w:r w:rsidR="00BB6081">
        <w:rPr>
          <w:rFonts w:ascii="Tahoma" w:hAnsi="Tahoma" w:cs="Tahoma"/>
          <w:sz w:val="20"/>
          <w:szCs w:val="20"/>
        </w:rPr>
        <w:t xml:space="preserve">ράξεων αυτών </w:t>
      </w:r>
      <w:r>
        <w:rPr>
          <w:rFonts w:ascii="Tahoma" w:hAnsi="Tahoma" w:cs="Tahoma"/>
          <w:sz w:val="20"/>
          <w:szCs w:val="20"/>
        </w:rPr>
        <w:t xml:space="preserve">γίνεται επιπροσθέτως του αρχικού </w:t>
      </w:r>
      <w:r w:rsidR="009F1331">
        <w:rPr>
          <w:rFonts w:ascii="Tahoma" w:hAnsi="Tahoma" w:cs="Tahoma"/>
          <w:sz w:val="20"/>
          <w:szCs w:val="20"/>
        </w:rPr>
        <w:t xml:space="preserve">δείγματος </w:t>
      </w:r>
      <w:r>
        <w:rPr>
          <w:rFonts w:ascii="Tahoma" w:hAnsi="Tahoma" w:cs="Tahoma"/>
          <w:sz w:val="20"/>
          <w:szCs w:val="20"/>
        </w:rPr>
        <w:t xml:space="preserve">και κατά χρονική προτεραιότητα. </w:t>
      </w:r>
    </w:p>
    <w:p w:rsidR="005B017B" w:rsidRPr="00455AF1" w:rsidRDefault="005B017B" w:rsidP="005B017B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</w:t>
      </w:r>
      <w:r w:rsidRPr="006C4551">
        <w:rPr>
          <w:rFonts w:ascii="Tahoma" w:hAnsi="Tahoma" w:cs="Tahoma"/>
          <w:sz w:val="20"/>
          <w:szCs w:val="20"/>
        </w:rPr>
        <w:t xml:space="preserve">Πρόγραμμα </w:t>
      </w:r>
      <w:r w:rsidRPr="006C4551">
        <w:rPr>
          <w:rFonts w:ascii="Tahoma" w:hAnsi="Tahoma" w:cs="Tahoma"/>
          <w:bCs/>
          <w:sz w:val="20"/>
          <w:szCs w:val="20"/>
        </w:rPr>
        <w:t xml:space="preserve">επαληθεύσεων τήρησης </w:t>
      </w:r>
      <w:r w:rsidR="006C4551" w:rsidRPr="006C4551">
        <w:rPr>
          <w:rFonts w:ascii="Tahoma" w:hAnsi="Tahoma" w:cs="Tahoma"/>
          <w:bCs/>
          <w:sz w:val="20"/>
          <w:szCs w:val="20"/>
        </w:rPr>
        <w:t xml:space="preserve">μακροχρόνιων </w:t>
      </w:r>
      <w:r w:rsidRPr="006C4551">
        <w:rPr>
          <w:rFonts w:ascii="Tahoma" w:hAnsi="Tahoma" w:cs="Tahoma"/>
          <w:bCs/>
          <w:sz w:val="20"/>
          <w:szCs w:val="20"/>
        </w:rPr>
        <w:t>υποχρεώσεων</w:t>
      </w:r>
      <w:r w:rsidR="00174757" w:rsidRPr="009F133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1331">
        <w:rPr>
          <w:rFonts w:ascii="Tahoma" w:hAnsi="Tahoma" w:cs="Tahoma"/>
          <w:sz w:val="20"/>
          <w:szCs w:val="20"/>
        </w:rPr>
        <w:t>εγκρίνεται</w:t>
      </w:r>
      <w:r w:rsidRPr="00455AF1">
        <w:rPr>
          <w:rFonts w:ascii="Tahoma" w:hAnsi="Tahoma" w:cs="Tahoma"/>
          <w:sz w:val="20"/>
          <w:szCs w:val="20"/>
        </w:rPr>
        <w:t xml:space="preserve"> από τον Προϊστάμενο της ΔΑ/</w:t>
      </w:r>
      <w:r w:rsidR="00AD22C2">
        <w:rPr>
          <w:rFonts w:ascii="Tahoma" w:hAnsi="Tahoma" w:cs="Tahoma"/>
          <w:sz w:val="20"/>
          <w:szCs w:val="20"/>
        </w:rPr>
        <w:t xml:space="preserve"> </w:t>
      </w:r>
      <w:r w:rsidRPr="00455AF1">
        <w:rPr>
          <w:rFonts w:ascii="Tahoma" w:hAnsi="Tahoma" w:cs="Tahoma"/>
          <w:sz w:val="20"/>
          <w:szCs w:val="20"/>
        </w:rPr>
        <w:t>ΕΦ</w:t>
      </w:r>
      <w:r>
        <w:rPr>
          <w:rFonts w:ascii="Tahoma" w:hAnsi="Tahoma" w:cs="Tahoma"/>
          <w:sz w:val="20"/>
          <w:szCs w:val="20"/>
        </w:rPr>
        <w:t xml:space="preserve"> και </w:t>
      </w:r>
      <w:r w:rsidRPr="00455AF1">
        <w:rPr>
          <w:rFonts w:ascii="Tahoma" w:hAnsi="Tahoma" w:cs="Tahoma"/>
          <w:sz w:val="20"/>
          <w:szCs w:val="20"/>
        </w:rPr>
        <w:t>αρχειοθετ</w:t>
      </w:r>
      <w:r>
        <w:rPr>
          <w:rFonts w:ascii="Tahoma" w:hAnsi="Tahoma" w:cs="Tahoma"/>
          <w:sz w:val="20"/>
          <w:szCs w:val="20"/>
        </w:rPr>
        <w:t>είται</w:t>
      </w:r>
      <w:r w:rsidRPr="00455AF1">
        <w:rPr>
          <w:rFonts w:ascii="Tahoma" w:hAnsi="Tahoma" w:cs="Tahoma"/>
          <w:sz w:val="20"/>
          <w:szCs w:val="20"/>
        </w:rPr>
        <w:t xml:space="preserve"> με ευθύνη της ΔΑ/</w:t>
      </w:r>
      <w:r w:rsidR="00AD22C2">
        <w:rPr>
          <w:rFonts w:ascii="Tahoma" w:hAnsi="Tahoma" w:cs="Tahoma"/>
          <w:sz w:val="20"/>
          <w:szCs w:val="20"/>
        </w:rPr>
        <w:t xml:space="preserve"> </w:t>
      </w:r>
      <w:r w:rsidRPr="00455AF1">
        <w:rPr>
          <w:rFonts w:ascii="Tahoma" w:hAnsi="Tahoma" w:cs="Tahoma"/>
          <w:sz w:val="20"/>
          <w:szCs w:val="20"/>
        </w:rPr>
        <w:t xml:space="preserve">ΕΦ. </w:t>
      </w:r>
    </w:p>
    <w:p w:rsidR="004C549A" w:rsidRPr="00A13837" w:rsidRDefault="004C549A" w:rsidP="00A13837">
      <w:pPr>
        <w:pStyle w:val="ListParagraph"/>
        <w:keepNext/>
        <w:numPr>
          <w:ilvl w:val="1"/>
          <w:numId w:val="13"/>
        </w:numPr>
        <w:spacing w:before="240" w:after="120" w:line="280" w:lineRule="atLeas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 w:rsidRPr="00A13837">
        <w:rPr>
          <w:rFonts w:ascii="Tahoma" w:hAnsi="Tahoma" w:cs="Tahoma"/>
          <w:b/>
          <w:bCs/>
          <w:color w:val="990000"/>
          <w:sz w:val="20"/>
          <w:szCs w:val="20"/>
        </w:rPr>
        <w:t>Διενέργεια Επαλήθευσης - Σύνταξη Έκθεσης</w:t>
      </w:r>
    </w:p>
    <w:p w:rsidR="00BA62C8" w:rsidRDefault="0055173F" w:rsidP="0055173F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 xml:space="preserve">Η </w:t>
      </w:r>
      <w:r w:rsidRPr="00A13837">
        <w:rPr>
          <w:rFonts w:ascii="Tahoma" w:hAnsi="Tahoma" w:cs="Tahoma"/>
          <w:sz w:val="20"/>
          <w:szCs w:val="20"/>
        </w:rPr>
        <w:t>ΔΑ/ ΕΦ</w:t>
      </w:r>
      <w:r w:rsidRPr="00B96EDC">
        <w:rPr>
          <w:rFonts w:ascii="Tahoma" w:hAnsi="Tahoma" w:cs="Tahoma"/>
          <w:sz w:val="20"/>
          <w:szCs w:val="20"/>
        </w:rPr>
        <w:t xml:space="preserve"> ενημερώνει τους Δικαιούχους ή τους </w:t>
      </w:r>
      <w:r>
        <w:rPr>
          <w:rFonts w:ascii="Tahoma" w:hAnsi="Tahoma" w:cs="Tahoma"/>
          <w:sz w:val="20"/>
          <w:szCs w:val="20"/>
        </w:rPr>
        <w:t>Φορείς Λ</w:t>
      </w:r>
      <w:r w:rsidRPr="00B96EDC">
        <w:rPr>
          <w:rFonts w:ascii="Tahoma" w:hAnsi="Tahoma" w:cs="Tahoma"/>
          <w:sz w:val="20"/>
          <w:szCs w:val="20"/>
        </w:rPr>
        <w:t>ειτουργίας των Πράξεων που έχουν</w:t>
      </w:r>
      <w:r w:rsidR="00BB6081">
        <w:rPr>
          <w:rFonts w:ascii="Tahoma" w:hAnsi="Tahoma" w:cs="Tahoma"/>
          <w:sz w:val="20"/>
          <w:szCs w:val="20"/>
        </w:rPr>
        <w:t xml:space="preserve"> συμπεριληφθεί στο ετήσιο Πρόγραμμα</w:t>
      </w:r>
      <w:r w:rsidRPr="00B96EDC">
        <w:rPr>
          <w:rFonts w:ascii="Tahoma" w:hAnsi="Tahoma" w:cs="Tahoma"/>
          <w:sz w:val="20"/>
          <w:szCs w:val="20"/>
        </w:rPr>
        <w:t xml:space="preserve"> να υποβάλουν τα κατά περίπτωση απαιτούμενα αποδεικτικά έγγραφα για </w:t>
      </w:r>
      <w:r w:rsidR="000725F8">
        <w:rPr>
          <w:rFonts w:ascii="Tahoma" w:hAnsi="Tahoma" w:cs="Tahoma"/>
          <w:sz w:val="20"/>
          <w:szCs w:val="20"/>
        </w:rPr>
        <w:t xml:space="preserve">την </w:t>
      </w:r>
      <w:r w:rsidRPr="00B96EDC">
        <w:rPr>
          <w:rFonts w:ascii="Tahoma" w:hAnsi="Tahoma" w:cs="Tahoma"/>
          <w:sz w:val="20"/>
          <w:szCs w:val="20"/>
        </w:rPr>
        <w:t xml:space="preserve">επαλήθευση της τήρησης των </w:t>
      </w:r>
      <w:r w:rsidR="00BB6081">
        <w:rPr>
          <w:rFonts w:ascii="Tahoma" w:hAnsi="Tahoma" w:cs="Tahoma"/>
          <w:sz w:val="20"/>
          <w:szCs w:val="20"/>
        </w:rPr>
        <w:t xml:space="preserve">μακροχρόνιων </w:t>
      </w:r>
      <w:r w:rsidRPr="00B96EDC">
        <w:rPr>
          <w:rFonts w:ascii="Tahoma" w:hAnsi="Tahoma" w:cs="Tahoma"/>
          <w:sz w:val="20"/>
          <w:szCs w:val="20"/>
        </w:rPr>
        <w:t xml:space="preserve">υποχρεώσεών </w:t>
      </w:r>
      <w:r>
        <w:rPr>
          <w:rFonts w:ascii="Tahoma" w:hAnsi="Tahoma" w:cs="Tahoma"/>
          <w:sz w:val="20"/>
          <w:szCs w:val="20"/>
        </w:rPr>
        <w:t xml:space="preserve">τους. </w:t>
      </w:r>
    </w:p>
    <w:p w:rsidR="0055173F" w:rsidRDefault="00BA62C8" w:rsidP="0055173F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Τα στοιχεία που υποβάλλουν οι δικαιούχοι</w:t>
      </w:r>
      <w:r w:rsidR="006962FF">
        <w:rPr>
          <w:rFonts w:ascii="Tahoma" w:hAnsi="Tahoma" w:cs="Tahoma"/>
          <w:sz w:val="20"/>
          <w:szCs w:val="20"/>
        </w:rPr>
        <w:t xml:space="preserve"> επαληθεύονται διοικητικά στο σύνολό</w:t>
      </w:r>
      <w:r>
        <w:rPr>
          <w:rFonts w:ascii="Tahoma" w:hAnsi="Tahoma" w:cs="Tahoma"/>
          <w:sz w:val="20"/>
          <w:szCs w:val="20"/>
        </w:rPr>
        <w:t xml:space="preserve"> τους. Όπου είναι </w:t>
      </w:r>
      <w:r w:rsidR="00FD7268">
        <w:rPr>
          <w:rFonts w:ascii="Tahoma" w:hAnsi="Tahoma" w:cs="Tahoma"/>
          <w:sz w:val="20"/>
          <w:szCs w:val="20"/>
        </w:rPr>
        <w:t>δυνατόν</w:t>
      </w:r>
      <w:r w:rsidR="001873AB">
        <w:rPr>
          <w:rFonts w:ascii="Tahoma" w:hAnsi="Tahoma" w:cs="Tahoma"/>
          <w:sz w:val="20"/>
          <w:szCs w:val="20"/>
        </w:rPr>
        <w:t>,</w:t>
      </w:r>
      <w:r w:rsidR="000725F8">
        <w:rPr>
          <w:rFonts w:ascii="Tahoma" w:hAnsi="Tahoma" w:cs="Tahoma"/>
          <w:sz w:val="20"/>
          <w:szCs w:val="20"/>
        </w:rPr>
        <w:t xml:space="preserve"> μπορεί να γίνεται χρήση στοιχείων</w:t>
      </w:r>
      <w:r>
        <w:rPr>
          <w:rFonts w:ascii="Tahoma" w:hAnsi="Tahoma" w:cs="Tahoma"/>
          <w:sz w:val="20"/>
          <w:szCs w:val="20"/>
        </w:rPr>
        <w:t xml:space="preserve"> </w:t>
      </w:r>
      <w:r w:rsidR="00FD7268">
        <w:rPr>
          <w:rFonts w:ascii="Tahoma" w:hAnsi="Tahoma" w:cs="Tahoma"/>
          <w:sz w:val="20"/>
          <w:szCs w:val="20"/>
        </w:rPr>
        <w:t>υφιστάμενων βάσεων δεδομένων ως βάση διασταύρωσης</w:t>
      </w:r>
      <w:r>
        <w:rPr>
          <w:rFonts w:ascii="Tahoma" w:hAnsi="Tahoma" w:cs="Tahoma"/>
          <w:sz w:val="20"/>
          <w:szCs w:val="20"/>
        </w:rPr>
        <w:t xml:space="preserve"> των αποδεικτικών εγγράφων του δικαιούχου</w:t>
      </w:r>
      <w:r w:rsidR="00FD7268">
        <w:rPr>
          <w:rFonts w:ascii="Tahoma" w:hAnsi="Tahoma" w:cs="Tahoma"/>
          <w:sz w:val="20"/>
          <w:szCs w:val="20"/>
        </w:rPr>
        <w:t>.</w:t>
      </w:r>
    </w:p>
    <w:p w:rsidR="000725F8" w:rsidRDefault="00BA62C8" w:rsidP="000725F8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Με την ολοκλήρωση της διοικητικής επαλήθευσης των </w:t>
      </w:r>
      <w:r w:rsidR="00AD22C2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 xml:space="preserve">ράξεων του </w:t>
      </w:r>
      <w:r w:rsidR="006962FF">
        <w:rPr>
          <w:rFonts w:ascii="Tahoma" w:hAnsi="Tahoma" w:cs="Tahoma"/>
          <w:sz w:val="20"/>
          <w:szCs w:val="20"/>
        </w:rPr>
        <w:t>ετήσιου Π</w:t>
      </w:r>
      <w:r w:rsidR="00FB5093">
        <w:rPr>
          <w:rFonts w:ascii="Tahoma" w:hAnsi="Tahoma" w:cs="Tahoma"/>
          <w:sz w:val="20"/>
          <w:szCs w:val="20"/>
        </w:rPr>
        <w:t xml:space="preserve">ρογράμματος </w:t>
      </w:r>
      <w:r>
        <w:rPr>
          <w:rFonts w:ascii="Tahoma" w:hAnsi="Tahoma" w:cs="Tahoma"/>
          <w:sz w:val="20"/>
          <w:szCs w:val="20"/>
        </w:rPr>
        <w:t>η ΔΑ</w:t>
      </w:r>
      <w:r w:rsidR="00AD22C2">
        <w:rPr>
          <w:rFonts w:ascii="Tahoma" w:hAnsi="Tahoma" w:cs="Tahoma"/>
          <w:sz w:val="20"/>
          <w:szCs w:val="20"/>
        </w:rPr>
        <w:t>/ ΕΦ</w:t>
      </w:r>
      <w:r>
        <w:rPr>
          <w:rFonts w:ascii="Tahoma" w:hAnsi="Tahoma" w:cs="Tahoma"/>
          <w:sz w:val="20"/>
          <w:szCs w:val="20"/>
        </w:rPr>
        <w:t xml:space="preserve"> επιλέγει τις πράξεις για τ</w:t>
      </w:r>
      <w:r w:rsidR="00FB5093">
        <w:rPr>
          <w:rFonts w:ascii="Tahoma" w:hAnsi="Tahoma" w:cs="Tahoma"/>
          <w:sz w:val="20"/>
          <w:szCs w:val="20"/>
        </w:rPr>
        <w:t>ι</w:t>
      </w:r>
      <w:r>
        <w:rPr>
          <w:rFonts w:ascii="Tahoma" w:hAnsi="Tahoma" w:cs="Tahoma"/>
          <w:sz w:val="20"/>
          <w:szCs w:val="20"/>
        </w:rPr>
        <w:t xml:space="preserve">ς οποίες η τήρηση των μακροχρόνιων υποχρεώσεων θα επαληθευτεί και επιτοπίως. Η επιλογή γίνεται με βάση τα αναφερόμενα  </w:t>
      </w:r>
      <w:r w:rsidR="000725F8" w:rsidRPr="00B96EDC">
        <w:rPr>
          <w:rFonts w:ascii="Tahoma" w:hAnsi="Tahoma" w:cs="Tahoma"/>
          <w:sz w:val="20"/>
          <w:szCs w:val="20"/>
        </w:rPr>
        <w:t xml:space="preserve">στον </w:t>
      </w:r>
      <w:r w:rsidR="000725F8" w:rsidRPr="00B96EDC">
        <w:rPr>
          <w:rFonts w:ascii="Tahoma" w:hAnsi="Tahoma" w:cs="Tahoma"/>
          <w:i/>
          <w:sz w:val="20"/>
          <w:szCs w:val="20"/>
        </w:rPr>
        <w:t xml:space="preserve">«Οδηγό </w:t>
      </w:r>
      <w:r w:rsidR="009533B2">
        <w:rPr>
          <w:rFonts w:ascii="Tahoma" w:hAnsi="Tahoma" w:cs="Tahoma"/>
          <w:i/>
          <w:sz w:val="20"/>
          <w:szCs w:val="20"/>
        </w:rPr>
        <w:t>Διαχειριστικών Επαληθεύσεων</w:t>
      </w:r>
      <w:r w:rsidR="009533B2" w:rsidRPr="00B96EDC">
        <w:rPr>
          <w:rFonts w:ascii="Tahoma" w:hAnsi="Tahoma" w:cs="Tahoma"/>
          <w:i/>
          <w:sz w:val="20"/>
          <w:szCs w:val="20"/>
        </w:rPr>
        <w:t xml:space="preserve"> </w:t>
      </w:r>
      <w:r w:rsidR="000725F8" w:rsidRPr="00B96EDC">
        <w:rPr>
          <w:rFonts w:ascii="Tahoma" w:hAnsi="Tahoma" w:cs="Tahoma"/>
          <w:i/>
          <w:sz w:val="20"/>
          <w:szCs w:val="20"/>
        </w:rPr>
        <w:t xml:space="preserve">Πράξεων συγχρηματοδοτούμενων από τα </w:t>
      </w:r>
      <w:r w:rsidR="009533B2">
        <w:rPr>
          <w:rFonts w:ascii="Tahoma" w:hAnsi="Tahoma" w:cs="Tahoma"/>
          <w:i/>
          <w:sz w:val="20"/>
          <w:szCs w:val="20"/>
        </w:rPr>
        <w:t xml:space="preserve">ΕΠ </w:t>
      </w:r>
      <w:r w:rsidR="000725F8" w:rsidRPr="00B96EDC">
        <w:rPr>
          <w:rFonts w:ascii="Tahoma" w:hAnsi="Tahoma" w:cs="Tahoma"/>
          <w:i/>
          <w:sz w:val="20"/>
          <w:szCs w:val="20"/>
        </w:rPr>
        <w:t>του στόχου Επενδύσεις στην ανάπτυξη και στην απασχόληση»</w:t>
      </w:r>
      <w:r w:rsidR="000725F8" w:rsidRPr="00B96EDC">
        <w:rPr>
          <w:rFonts w:ascii="Tahoma" w:hAnsi="Tahoma" w:cs="Tahoma"/>
          <w:sz w:val="20"/>
          <w:szCs w:val="20"/>
        </w:rPr>
        <w:t>.</w:t>
      </w:r>
    </w:p>
    <w:p w:rsidR="0055173F" w:rsidRDefault="00427DE9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Στην περίπτωση </w:t>
      </w:r>
      <w:r w:rsidR="000725F8">
        <w:rPr>
          <w:rFonts w:ascii="Tahoma" w:hAnsi="Tahoma" w:cs="Tahoma"/>
          <w:sz w:val="20"/>
          <w:szCs w:val="20"/>
        </w:rPr>
        <w:t xml:space="preserve">επιλογής </w:t>
      </w:r>
      <w:r>
        <w:rPr>
          <w:rFonts w:ascii="Tahoma" w:hAnsi="Tahoma" w:cs="Tahoma"/>
          <w:sz w:val="20"/>
          <w:szCs w:val="20"/>
        </w:rPr>
        <w:t>επιτόπιας επαλήθευσης, η</w:t>
      </w:r>
      <w:r w:rsidRPr="0061000A">
        <w:rPr>
          <w:rFonts w:ascii="Tahoma" w:hAnsi="Tahoma" w:cs="Tahoma"/>
          <w:sz w:val="20"/>
          <w:szCs w:val="20"/>
        </w:rPr>
        <w:t xml:space="preserve"> αρμόδια </w:t>
      </w:r>
      <w:r>
        <w:rPr>
          <w:rFonts w:ascii="Tahoma" w:hAnsi="Tahoma" w:cs="Tahoma"/>
          <w:sz w:val="20"/>
          <w:szCs w:val="20"/>
        </w:rPr>
        <w:t>μ</w:t>
      </w:r>
      <w:r w:rsidRPr="0061000A">
        <w:rPr>
          <w:rFonts w:ascii="Tahoma" w:hAnsi="Tahoma" w:cs="Tahoma"/>
          <w:sz w:val="20"/>
          <w:szCs w:val="20"/>
        </w:rPr>
        <w:t>ονάδα της ΔΑ/</w:t>
      </w:r>
      <w:r w:rsidR="00FB5093">
        <w:rPr>
          <w:rFonts w:ascii="Tahoma" w:hAnsi="Tahoma" w:cs="Tahoma"/>
          <w:sz w:val="20"/>
          <w:szCs w:val="20"/>
        </w:rPr>
        <w:t xml:space="preserve"> </w:t>
      </w:r>
      <w:r w:rsidRPr="0061000A">
        <w:rPr>
          <w:rFonts w:ascii="Tahoma" w:hAnsi="Tahoma" w:cs="Tahoma"/>
          <w:sz w:val="20"/>
          <w:szCs w:val="20"/>
        </w:rPr>
        <w:t>ΕΦ εισηγείται τον ορισμό οργάνου επαλήθευσης.</w:t>
      </w:r>
    </w:p>
    <w:p w:rsidR="00DB7962" w:rsidRDefault="00DB7962" w:rsidP="0035091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96EDC">
        <w:rPr>
          <w:rFonts w:ascii="Tahoma" w:hAnsi="Tahoma" w:cs="Tahoma"/>
          <w:sz w:val="20"/>
          <w:szCs w:val="20"/>
        </w:rPr>
        <w:t>Τα αποτελέσματα της διοικητικής ή/</w:t>
      </w:r>
      <w:r w:rsidR="00FB5093">
        <w:rPr>
          <w:rFonts w:ascii="Tahoma" w:hAnsi="Tahoma" w:cs="Tahoma"/>
          <w:sz w:val="20"/>
          <w:szCs w:val="20"/>
        </w:rPr>
        <w:t xml:space="preserve"> </w:t>
      </w:r>
      <w:r w:rsidRPr="00B96EDC">
        <w:rPr>
          <w:rFonts w:ascii="Tahoma" w:hAnsi="Tahoma" w:cs="Tahoma"/>
          <w:sz w:val="20"/>
          <w:szCs w:val="20"/>
        </w:rPr>
        <w:t xml:space="preserve">και επιτόπιας επαλήθευσης των μακροχρόνιων υποχρεώσεων αποτυπώνονται </w:t>
      </w:r>
      <w:r w:rsidR="00A83D6D" w:rsidRPr="00B96EDC">
        <w:rPr>
          <w:rFonts w:ascii="Tahoma" w:hAnsi="Tahoma" w:cs="Tahoma"/>
          <w:sz w:val="20"/>
          <w:szCs w:val="20"/>
        </w:rPr>
        <w:t xml:space="preserve">στο </w:t>
      </w:r>
      <w:r w:rsidR="00710273" w:rsidRPr="00B96EDC">
        <w:rPr>
          <w:rFonts w:ascii="Tahoma" w:hAnsi="Tahoma" w:cs="Tahoma"/>
          <w:sz w:val="20"/>
          <w:szCs w:val="20"/>
        </w:rPr>
        <w:t>Έ</w:t>
      </w:r>
      <w:r w:rsidR="00A83D6D" w:rsidRPr="00B96EDC">
        <w:rPr>
          <w:rFonts w:ascii="Tahoma" w:hAnsi="Tahoma" w:cs="Tahoma"/>
          <w:sz w:val="20"/>
          <w:szCs w:val="20"/>
        </w:rPr>
        <w:t xml:space="preserve">ντυπο </w:t>
      </w:r>
      <w:r w:rsidR="00A83D6D" w:rsidRPr="00B96EDC">
        <w:rPr>
          <w:rFonts w:ascii="Tahoma" w:hAnsi="Tahoma" w:cs="Tahoma"/>
          <w:i/>
          <w:sz w:val="20"/>
          <w:szCs w:val="20"/>
        </w:rPr>
        <w:t xml:space="preserve">Ε.ΙΙ.11_1: </w:t>
      </w:r>
      <w:r w:rsidRPr="00B96EDC">
        <w:rPr>
          <w:rFonts w:ascii="Tahoma" w:hAnsi="Tahoma" w:cs="Tahoma"/>
          <w:i/>
          <w:sz w:val="20"/>
          <w:szCs w:val="20"/>
        </w:rPr>
        <w:t>Έκθεση Επαλήθευσης Μακροχρόνιων Υποχρεώσεων</w:t>
      </w:r>
      <w:r w:rsidRPr="00B96EDC">
        <w:rPr>
          <w:rFonts w:ascii="Tahoma" w:hAnsi="Tahoma" w:cs="Tahoma"/>
          <w:sz w:val="20"/>
          <w:szCs w:val="20"/>
        </w:rPr>
        <w:t>.</w:t>
      </w:r>
      <w:r w:rsidR="000D6647">
        <w:rPr>
          <w:rFonts w:ascii="Tahoma" w:hAnsi="Tahoma" w:cs="Tahoma"/>
          <w:sz w:val="20"/>
          <w:szCs w:val="20"/>
        </w:rPr>
        <w:t xml:space="preserve"> Η Έκθεση </w:t>
      </w:r>
      <w:r w:rsidR="00753F1F">
        <w:rPr>
          <w:rFonts w:ascii="Tahoma" w:hAnsi="Tahoma" w:cs="Tahoma"/>
          <w:sz w:val="20"/>
          <w:szCs w:val="20"/>
        </w:rPr>
        <w:t xml:space="preserve">δύναται να </w:t>
      </w:r>
      <w:r w:rsidR="000D6647">
        <w:rPr>
          <w:rFonts w:ascii="Tahoma" w:hAnsi="Tahoma" w:cs="Tahoma"/>
          <w:sz w:val="20"/>
          <w:szCs w:val="20"/>
        </w:rPr>
        <w:t xml:space="preserve">περιλαμβάνει </w:t>
      </w:r>
      <w:r w:rsidR="00E62E8E">
        <w:rPr>
          <w:rFonts w:ascii="Tahoma" w:hAnsi="Tahoma" w:cs="Tahoma"/>
          <w:sz w:val="20"/>
          <w:szCs w:val="20"/>
        </w:rPr>
        <w:t>και τυχόν συστάσεις που βασίζονται σε σαφή και τεκμηριωμένη ανάλυση των εντοπισμένων προβλημάτων και των συνεπειών τους</w:t>
      </w:r>
      <w:r w:rsidR="00E62E8E" w:rsidRPr="00656EC3">
        <w:rPr>
          <w:rFonts w:ascii="Tahoma" w:hAnsi="Tahoma" w:cs="Tahoma"/>
          <w:sz w:val="20"/>
          <w:szCs w:val="20"/>
        </w:rPr>
        <w:t>.</w:t>
      </w:r>
    </w:p>
    <w:p w:rsidR="00427DE9" w:rsidRDefault="00E62E8E" w:rsidP="00E62E8E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1656EE">
        <w:rPr>
          <w:rFonts w:ascii="Tahoma" w:hAnsi="Tahoma" w:cs="Tahoma"/>
          <w:color w:val="000000"/>
          <w:sz w:val="20"/>
          <w:szCs w:val="20"/>
        </w:rPr>
        <w:t xml:space="preserve">Στην περίπτωση που κατά την </w:t>
      </w:r>
      <w:r w:rsidRPr="00B96EDC">
        <w:rPr>
          <w:rFonts w:ascii="Tahoma" w:hAnsi="Tahoma" w:cs="Tahoma"/>
          <w:sz w:val="20"/>
          <w:szCs w:val="20"/>
        </w:rPr>
        <w:t>επαλήθευση</w:t>
      </w:r>
      <w:r w:rsidRPr="001656EE">
        <w:rPr>
          <w:rFonts w:ascii="Tahoma" w:hAnsi="Tahoma" w:cs="Tahoma"/>
          <w:color w:val="000000"/>
          <w:sz w:val="20"/>
          <w:szCs w:val="20"/>
        </w:rPr>
        <w:t xml:space="preserve"> διαπιστώνεται παρατυπία </w:t>
      </w:r>
      <w:r>
        <w:rPr>
          <w:rFonts w:ascii="Tahoma" w:hAnsi="Tahoma" w:cs="Tahoma"/>
          <w:color w:val="000000"/>
          <w:sz w:val="20"/>
          <w:szCs w:val="20"/>
        </w:rPr>
        <w:t>λόγω μη τ</w:t>
      </w:r>
      <w:r w:rsidR="007329FC">
        <w:rPr>
          <w:rFonts w:ascii="Tahoma" w:hAnsi="Tahoma" w:cs="Tahoma"/>
          <w:color w:val="000000"/>
          <w:sz w:val="20"/>
          <w:szCs w:val="20"/>
        </w:rPr>
        <w:t>ήρησης των μα</w:t>
      </w:r>
      <w:r>
        <w:rPr>
          <w:rFonts w:ascii="Tahoma" w:hAnsi="Tahoma" w:cs="Tahoma"/>
          <w:color w:val="000000"/>
          <w:sz w:val="20"/>
          <w:szCs w:val="20"/>
        </w:rPr>
        <w:t>κ</w:t>
      </w:r>
      <w:r w:rsidR="007329FC">
        <w:rPr>
          <w:rFonts w:ascii="Tahoma" w:hAnsi="Tahoma" w:cs="Tahoma"/>
          <w:color w:val="000000"/>
          <w:sz w:val="20"/>
          <w:szCs w:val="20"/>
        </w:rPr>
        <w:t>ρ</w:t>
      </w:r>
      <w:r>
        <w:rPr>
          <w:rFonts w:ascii="Tahoma" w:hAnsi="Tahoma" w:cs="Tahoma"/>
          <w:color w:val="000000"/>
          <w:sz w:val="20"/>
          <w:szCs w:val="20"/>
        </w:rPr>
        <w:t>οχρόνιων υποχρεώσεων</w:t>
      </w:r>
      <w:r w:rsidRPr="001873AB">
        <w:rPr>
          <w:rFonts w:ascii="Tahoma" w:hAnsi="Tahoma" w:cs="Tahoma"/>
          <w:color w:val="000000"/>
          <w:sz w:val="20"/>
          <w:szCs w:val="20"/>
        </w:rPr>
        <w:t xml:space="preserve">, χωρίς να υπάρχει πλέον η δυνατότητα </w:t>
      </w:r>
      <w:r w:rsidR="007329FC" w:rsidRPr="001873AB">
        <w:rPr>
          <w:rFonts w:ascii="Tahoma" w:hAnsi="Tahoma" w:cs="Tahoma"/>
          <w:color w:val="000000"/>
          <w:sz w:val="20"/>
          <w:szCs w:val="20"/>
        </w:rPr>
        <w:t>τήρησης των υποχρεώσεων αυτών,</w:t>
      </w:r>
      <w:r w:rsidR="007329F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329FC" w:rsidRPr="001656EE">
        <w:rPr>
          <w:rFonts w:ascii="Tahoma" w:hAnsi="Tahoma" w:cs="Tahoma"/>
          <w:color w:val="000000"/>
          <w:sz w:val="20"/>
          <w:szCs w:val="20"/>
        </w:rPr>
        <w:t xml:space="preserve">αυτή αναφέρεται στην </w:t>
      </w:r>
      <w:r w:rsidR="007329FC" w:rsidRPr="001656EE">
        <w:rPr>
          <w:rFonts w:ascii="Tahoma" w:hAnsi="Tahoma" w:cs="Tahoma"/>
          <w:i/>
          <w:color w:val="000000"/>
          <w:sz w:val="20"/>
          <w:szCs w:val="20"/>
        </w:rPr>
        <w:t xml:space="preserve">Έκθεση </w:t>
      </w:r>
      <w:r w:rsidR="007329FC" w:rsidRPr="00B96EDC">
        <w:rPr>
          <w:rFonts w:ascii="Tahoma" w:hAnsi="Tahoma" w:cs="Tahoma"/>
          <w:i/>
          <w:sz w:val="20"/>
          <w:szCs w:val="20"/>
        </w:rPr>
        <w:t>Επαλήθευσης</w:t>
      </w:r>
      <w:r w:rsidR="007329FC" w:rsidRPr="001656EE">
        <w:rPr>
          <w:rFonts w:ascii="Tahoma" w:hAnsi="Tahoma" w:cs="Tahoma"/>
          <w:color w:val="000000"/>
          <w:sz w:val="20"/>
          <w:szCs w:val="20"/>
        </w:rPr>
        <w:t xml:space="preserve"> με κατάλληλη τεκμηρίωση και αναφορά των διατάξεων που παραβιάστηκαν και προτείνεται δημοσιονομ</w:t>
      </w:r>
      <w:r w:rsidR="00AD23C5">
        <w:rPr>
          <w:rFonts w:ascii="Tahoma" w:hAnsi="Tahoma" w:cs="Tahoma"/>
          <w:color w:val="000000"/>
          <w:sz w:val="20"/>
          <w:szCs w:val="20"/>
        </w:rPr>
        <w:t xml:space="preserve">ική διόρθωση και, </w:t>
      </w:r>
      <w:r w:rsidR="00AD23C5">
        <w:rPr>
          <w:rFonts w:ascii="Tahoma" w:hAnsi="Tahoma" w:cs="Tahoma"/>
          <w:sz w:val="20"/>
          <w:szCs w:val="20"/>
        </w:rPr>
        <w:t>στις περιπτώσεις που προβλέπονται από την</w:t>
      </w:r>
      <w:r w:rsidR="00AD23C5" w:rsidRPr="00D61F9D">
        <w:rPr>
          <w:rFonts w:ascii="Tahoma" w:hAnsi="Tahoma" w:cs="Tahoma"/>
          <w:sz w:val="20"/>
          <w:szCs w:val="20"/>
        </w:rPr>
        <w:t xml:space="preserve"> παρ. 3 του άρθρου 33 του ν.</w:t>
      </w:r>
      <w:r w:rsidR="00AD23C5" w:rsidRPr="002F3B87">
        <w:rPr>
          <w:rFonts w:ascii="Tahoma" w:hAnsi="Tahoma" w:cs="Tahoma"/>
          <w:sz w:val="20"/>
          <w:szCs w:val="20"/>
        </w:rPr>
        <w:t xml:space="preserve"> 4314/2014</w:t>
      </w:r>
      <w:r w:rsidR="00AD23C5">
        <w:rPr>
          <w:rFonts w:ascii="Tahoma" w:hAnsi="Tahoma" w:cs="Tahoma"/>
          <w:sz w:val="20"/>
          <w:szCs w:val="20"/>
        </w:rPr>
        <w:t xml:space="preserve">, </w:t>
      </w:r>
      <w:r w:rsidR="007329FC" w:rsidRPr="001656EE">
        <w:rPr>
          <w:rFonts w:ascii="Tahoma" w:hAnsi="Tahoma" w:cs="Tahoma"/>
          <w:color w:val="000000"/>
          <w:sz w:val="20"/>
          <w:szCs w:val="20"/>
        </w:rPr>
        <w:t xml:space="preserve">ανάκτηση των ποσών που έχουν καταβληθεί </w:t>
      </w:r>
      <w:proofErr w:type="spellStart"/>
      <w:r w:rsidR="007329FC" w:rsidRPr="001656EE">
        <w:rPr>
          <w:rFonts w:ascii="Tahoma" w:hAnsi="Tahoma" w:cs="Tahoma"/>
          <w:color w:val="000000"/>
          <w:sz w:val="20"/>
          <w:szCs w:val="20"/>
        </w:rPr>
        <w:t>αχρεωστήτως</w:t>
      </w:r>
      <w:proofErr w:type="spellEnd"/>
      <w:r w:rsidR="007329FC" w:rsidRPr="001656EE">
        <w:rPr>
          <w:rFonts w:ascii="Tahoma" w:hAnsi="Tahoma" w:cs="Tahoma"/>
          <w:color w:val="000000"/>
          <w:sz w:val="20"/>
          <w:szCs w:val="20"/>
        </w:rPr>
        <w:t xml:space="preserve"> ή παρανόμως.</w:t>
      </w:r>
      <w:r w:rsidR="001A778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27DE9" w:rsidRPr="00753F1F">
        <w:rPr>
          <w:rFonts w:ascii="Tahoma" w:hAnsi="Tahoma" w:cs="Tahoma"/>
          <w:color w:val="000000"/>
          <w:sz w:val="20"/>
          <w:szCs w:val="20"/>
        </w:rPr>
        <w:t xml:space="preserve">Το ύψος της </w:t>
      </w:r>
      <w:r w:rsidR="00427DE9" w:rsidRPr="00753F1F">
        <w:rPr>
          <w:rFonts w:ascii="Tahoma" w:hAnsi="Tahoma" w:cs="Tahoma"/>
          <w:color w:val="000000"/>
          <w:sz w:val="20"/>
          <w:szCs w:val="20"/>
        </w:rPr>
        <w:lastRenderedPageBreak/>
        <w:t xml:space="preserve">δημοσιονομικής διόρθωσης </w:t>
      </w:r>
      <w:r w:rsidR="00427DE9" w:rsidRPr="001873AB">
        <w:rPr>
          <w:rFonts w:ascii="Tahoma" w:hAnsi="Tahoma" w:cs="Tahoma"/>
          <w:color w:val="000000"/>
          <w:sz w:val="20"/>
          <w:szCs w:val="20"/>
        </w:rPr>
        <w:t>ή και τα προς ανάκτηση ποσά, θα πρέπει</w:t>
      </w:r>
      <w:r w:rsidR="00427DE9" w:rsidRPr="00753F1F">
        <w:rPr>
          <w:rFonts w:ascii="Tahoma" w:hAnsi="Tahoma" w:cs="Tahoma"/>
          <w:color w:val="000000"/>
          <w:sz w:val="20"/>
          <w:szCs w:val="20"/>
        </w:rPr>
        <w:t xml:space="preserve"> να είναι αναλογικά προς την περίοδο για την οποία δεν εκπληρώθηκαν οι απαιτήσεις.</w:t>
      </w:r>
    </w:p>
    <w:p w:rsidR="0062554A" w:rsidRDefault="00753F1F" w:rsidP="00E62E8E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Στην περίπτωση που η παρατυπία συνίσταται στη διακοπή μιας παραγωγικής δραστηριότητας εξαιτίας μη δόλιας πτώχευσης, </w:t>
      </w:r>
      <w:r w:rsidR="00427DE9">
        <w:rPr>
          <w:rFonts w:ascii="Tahoma" w:hAnsi="Tahoma" w:cs="Tahoma"/>
          <w:color w:val="000000"/>
          <w:sz w:val="20"/>
          <w:szCs w:val="20"/>
        </w:rPr>
        <w:t xml:space="preserve">δεν </w:t>
      </w:r>
      <w:r>
        <w:rPr>
          <w:rFonts w:ascii="Tahoma" w:hAnsi="Tahoma" w:cs="Tahoma"/>
          <w:color w:val="000000"/>
          <w:sz w:val="20"/>
          <w:szCs w:val="20"/>
        </w:rPr>
        <w:t>επιβάλλεται δημοσιονομική διόρθωση.</w:t>
      </w:r>
    </w:p>
    <w:p w:rsidR="0060395D" w:rsidRPr="00455AF1" w:rsidRDefault="00A13837" w:rsidP="0060395D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Έκθεση συντάσσεται εντός τριάντα (30</w:t>
      </w:r>
      <w:r w:rsidR="007329FC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ημερολογιακών ημερών από την ολοκλήρωση της επαλ</w:t>
      </w:r>
      <w:r w:rsidR="00D47DEC">
        <w:rPr>
          <w:rFonts w:ascii="Tahoma" w:hAnsi="Tahoma" w:cs="Tahoma"/>
          <w:sz w:val="20"/>
          <w:szCs w:val="20"/>
        </w:rPr>
        <w:t xml:space="preserve">ήθευσης, </w:t>
      </w:r>
      <w:r w:rsidR="0060395D" w:rsidRPr="00455AF1">
        <w:rPr>
          <w:rFonts w:ascii="Tahoma" w:hAnsi="Tahoma" w:cs="Tahoma"/>
          <w:sz w:val="20"/>
          <w:szCs w:val="20"/>
        </w:rPr>
        <w:t>εγκρίνεται από τον Προϊστάμενο της ΔΑ/ΕΦ</w:t>
      </w:r>
      <w:r w:rsidR="00D47DEC">
        <w:rPr>
          <w:rFonts w:ascii="Tahoma" w:hAnsi="Tahoma" w:cs="Tahoma"/>
          <w:sz w:val="20"/>
          <w:szCs w:val="20"/>
        </w:rPr>
        <w:t xml:space="preserve"> και </w:t>
      </w:r>
      <w:r w:rsidR="0060395D" w:rsidRPr="00455AF1">
        <w:rPr>
          <w:rFonts w:ascii="Tahoma" w:hAnsi="Tahoma" w:cs="Tahoma"/>
          <w:sz w:val="20"/>
          <w:szCs w:val="20"/>
        </w:rPr>
        <w:t>καταχωρίζεται στο ΟΠΣ εντός τριών (3)</w:t>
      </w:r>
      <w:r>
        <w:rPr>
          <w:rFonts w:ascii="Tahoma" w:hAnsi="Tahoma" w:cs="Tahoma"/>
          <w:sz w:val="20"/>
          <w:szCs w:val="20"/>
        </w:rPr>
        <w:t xml:space="preserve"> εργάσιμων</w:t>
      </w:r>
      <w:r w:rsidR="0060395D" w:rsidRPr="00455AF1">
        <w:rPr>
          <w:rFonts w:ascii="Tahoma" w:hAnsi="Tahoma" w:cs="Tahoma"/>
          <w:sz w:val="20"/>
          <w:szCs w:val="20"/>
        </w:rPr>
        <w:t xml:space="preserve"> ημερών από την έγκρισή </w:t>
      </w:r>
      <w:r>
        <w:rPr>
          <w:rFonts w:ascii="Tahoma" w:hAnsi="Tahoma" w:cs="Tahoma"/>
          <w:sz w:val="20"/>
          <w:szCs w:val="20"/>
        </w:rPr>
        <w:t>της</w:t>
      </w:r>
      <w:r w:rsidR="0060395D" w:rsidRPr="00455AF1">
        <w:rPr>
          <w:rFonts w:ascii="Tahoma" w:hAnsi="Tahoma" w:cs="Tahoma"/>
          <w:sz w:val="20"/>
          <w:szCs w:val="20"/>
        </w:rPr>
        <w:t xml:space="preserve">. </w:t>
      </w:r>
    </w:p>
    <w:p w:rsidR="00857876" w:rsidRPr="0061000A" w:rsidRDefault="00857876" w:rsidP="00857876">
      <w:pPr>
        <w:pStyle w:val="ListParagraph"/>
        <w:widowControl w:val="0"/>
        <w:numPr>
          <w:ilvl w:val="1"/>
          <w:numId w:val="13"/>
        </w:numPr>
        <w:autoSpaceDE w:val="0"/>
        <w:autoSpaceDN w:val="0"/>
        <w:adjustRightInd w:val="0"/>
        <w:spacing w:before="240" w:after="120" w:line="280" w:lineRule="exact"/>
        <w:ind w:left="426" w:hanging="426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Κοινοποίηση Έκθεσ</w:t>
      </w:r>
      <w:r w:rsidRPr="0061000A">
        <w:rPr>
          <w:rFonts w:ascii="Tahoma" w:hAnsi="Tahoma" w:cs="Tahoma"/>
          <w:b/>
          <w:bCs/>
          <w:color w:val="990000"/>
          <w:sz w:val="20"/>
          <w:szCs w:val="20"/>
        </w:rPr>
        <w:t>η</w:t>
      </w:r>
      <w:r>
        <w:rPr>
          <w:rFonts w:ascii="Tahoma" w:hAnsi="Tahoma" w:cs="Tahoma"/>
          <w:b/>
          <w:bCs/>
          <w:color w:val="990000"/>
          <w:sz w:val="20"/>
          <w:szCs w:val="20"/>
        </w:rPr>
        <w:t>ς</w:t>
      </w:r>
      <w:r w:rsidR="00FB5093">
        <w:rPr>
          <w:rFonts w:ascii="Tahoma" w:hAnsi="Tahoma" w:cs="Tahoma"/>
          <w:b/>
          <w:bCs/>
          <w:color w:val="990000"/>
          <w:sz w:val="20"/>
          <w:szCs w:val="20"/>
        </w:rPr>
        <w:t xml:space="preserve"> Επαλήθευσης Μακροχρόνιων Υποχρεώσεων</w:t>
      </w:r>
    </w:p>
    <w:p w:rsidR="00857876" w:rsidRDefault="00857876" w:rsidP="00857876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Ανάλογα με τα συμπεράσματα/ πορίσματα της Έκθεσης, η</w:t>
      </w:r>
      <w:r w:rsidR="00FB509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ΔΑ/ ΕΦ</w:t>
      </w:r>
      <w:r w:rsidRPr="006B7A8A">
        <w:rPr>
          <w:rFonts w:ascii="Tahoma" w:hAnsi="Tahoma" w:cs="Tahoma"/>
          <w:sz w:val="20"/>
          <w:szCs w:val="20"/>
        </w:rPr>
        <w:t xml:space="preserve"> κοινοποιεί την </w:t>
      </w:r>
      <w:r w:rsidRPr="006B7A8A">
        <w:rPr>
          <w:rFonts w:ascii="Tahoma" w:hAnsi="Tahoma" w:cs="Tahoma"/>
          <w:i/>
          <w:sz w:val="20"/>
          <w:szCs w:val="20"/>
        </w:rPr>
        <w:t>Έκθεση</w:t>
      </w:r>
      <w:r w:rsidR="00FB5093">
        <w:rPr>
          <w:rFonts w:ascii="Tahoma" w:hAnsi="Tahoma" w:cs="Tahoma"/>
          <w:i/>
          <w:sz w:val="20"/>
          <w:szCs w:val="20"/>
        </w:rPr>
        <w:t xml:space="preserve"> </w:t>
      </w:r>
      <w:r w:rsidRPr="00596C96">
        <w:rPr>
          <w:rFonts w:ascii="Tahoma" w:hAnsi="Tahoma" w:cs="Tahoma"/>
          <w:i/>
          <w:color w:val="000000"/>
          <w:sz w:val="20"/>
          <w:szCs w:val="20"/>
        </w:rPr>
        <w:t>Επαλήθευσης</w:t>
      </w:r>
      <w:r w:rsidR="00FB5093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22430F" w:rsidRPr="0022430F">
        <w:rPr>
          <w:rFonts w:ascii="Tahoma" w:hAnsi="Tahoma" w:cs="Tahoma"/>
          <w:i/>
          <w:color w:val="000000"/>
          <w:sz w:val="20"/>
          <w:szCs w:val="20"/>
        </w:rPr>
        <w:t>Μακροχρόνιων Υποχρεώσεων</w:t>
      </w:r>
      <w:r w:rsidR="008E7B3A" w:rsidRPr="008E7B3A">
        <w:rPr>
          <w:rFonts w:ascii="Tahoma" w:hAnsi="Tahoma" w:cs="Tahoma"/>
          <w:i/>
          <w:color w:val="000000"/>
          <w:sz w:val="20"/>
          <w:szCs w:val="20"/>
        </w:rPr>
        <w:t xml:space="preserve"> (</w:t>
      </w:r>
      <w:r w:rsidR="008E7B3A" w:rsidRPr="00B96EDC">
        <w:rPr>
          <w:rFonts w:ascii="Tahoma" w:hAnsi="Tahoma" w:cs="Tahoma"/>
          <w:sz w:val="20"/>
          <w:szCs w:val="20"/>
        </w:rPr>
        <w:t xml:space="preserve">Έντυπο </w:t>
      </w:r>
      <w:r w:rsidR="008E7B3A" w:rsidRPr="00B96EDC">
        <w:rPr>
          <w:rFonts w:ascii="Tahoma" w:hAnsi="Tahoma" w:cs="Tahoma"/>
          <w:i/>
          <w:sz w:val="20"/>
          <w:szCs w:val="20"/>
        </w:rPr>
        <w:t>Ε.ΙΙ.11_1</w:t>
      </w:r>
      <w:r w:rsidR="008E7B3A" w:rsidRPr="008E7B3A">
        <w:rPr>
          <w:rFonts w:ascii="Tahoma" w:hAnsi="Tahoma" w:cs="Tahoma"/>
          <w:i/>
          <w:sz w:val="20"/>
          <w:szCs w:val="20"/>
        </w:rPr>
        <w:t>)</w:t>
      </w:r>
      <w:r w:rsidR="00FB5093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053007">
        <w:rPr>
          <w:rFonts w:ascii="Tahoma" w:hAnsi="Tahoma" w:cs="Tahoma"/>
          <w:color w:val="000000"/>
          <w:sz w:val="20"/>
          <w:szCs w:val="20"/>
        </w:rPr>
        <w:t>στο Δικαιούχο ως ακολούθως:</w:t>
      </w:r>
    </w:p>
    <w:p w:rsidR="00857876" w:rsidRPr="00BB13D0" w:rsidRDefault="00857876" w:rsidP="00857876">
      <w:pPr>
        <w:pStyle w:val="ListParagraph"/>
        <w:numPr>
          <w:ilvl w:val="0"/>
          <w:numId w:val="15"/>
        </w:num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στην περίπτωση που η Έκθεση δεν περιλαμβάνει συστάσεις ή παρατυπίες, </w:t>
      </w:r>
      <w:r w:rsidRPr="00BB13D0">
        <w:rPr>
          <w:rFonts w:ascii="Tahoma" w:hAnsi="Tahoma" w:cs="Tahoma"/>
          <w:sz w:val="20"/>
          <w:szCs w:val="20"/>
        </w:rPr>
        <w:t xml:space="preserve">εντός δέκα (10) ημερολογιακών ημερών </w:t>
      </w:r>
      <w:r w:rsidRPr="00BB13D0">
        <w:rPr>
          <w:rFonts w:ascii="Tahoma" w:hAnsi="Tahoma" w:cs="Tahoma"/>
          <w:color w:val="000000"/>
          <w:sz w:val="20"/>
          <w:szCs w:val="20"/>
        </w:rPr>
        <w:t xml:space="preserve">από την έγκρισή </w:t>
      </w:r>
      <w:r>
        <w:rPr>
          <w:rFonts w:ascii="Tahoma" w:hAnsi="Tahoma" w:cs="Tahoma"/>
          <w:color w:val="000000"/>
          <w:sz w:val="20"/>
          <w:szCs w:val="20"/>
        </w:rPr>
        <w:t>της,</w:t>
      </w:r>
    </w:p>
    <w:p w:rsidR="00857876" w:rsidRPr="00BB13D0" w:rsidRDefault="00857876" w:rsidP="00857876">
      <w:pPr>
        <w:pStyle w:val="ListParagraph"/>
        <w:numPr>
          <w:ilvl w:val="0"/>
          <w:numId w:val="15"/>
        </w:num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BB13D0">
        <w:rPr>
          <w:rFonts w:ascii="Tahoma" w:hAnsi="Tahoma" w:cs="Tahoma"/>
          <w:sz w:val="20"/>
          <w:szCs w:val="20"/>
        </w:rPr>
        <w:t xml:space="preserve">την περίπτωση που </w:t>
      </w:r>
      <w:r>
        <w:rPr>
          <w:rFonts w:ascii="Tahoma" w:hAnsi="Tahoma" w:cs="Tahoma"/>
          <w:color w:val="000000"/>
          <w:sz w:val="20"/>
          <w:szCs w:val="20"/>
        </w:rPr>
        <w:t xml:space="preserve">η Έκθεση </w:t>
      </w:r>
      <w:r w:rsidRPr="00BB13D0">
        <w:rPr>
          <w:rFonts w:ascii="Tahoma" w:hAnsi="Tahoma" w:cs="Tahoma"/>
          <w:sz w:val="20"/>
          <w:szCs w:val="20"/>
        </w:rPr>
        <w:t xml:space="preserve">περιλαμβάνει συστάσεις </w:t>
      </w:r>
      <w:r>
        <w:rPr>
          <w:rFonts w:ascii="Tahoma" w:hAnsi="Tahoma" w:cs="Tahoma"/>
          <w:sz w:val="20"/>
          <w:szCs w:val="20"/>
        </w:rPr>
        <w:t xml:space="preserve">ή/ και παρατυπίες, </w:t>
      </w:r>
      <w:r w:rsidRPr="001656EE">
        <w:rPr>
          <w:rFonts w:ascii="Tahoma" w:hAnsi="Tahoma" w:cs="Tahoma"/>
          <w:sz w:val="20"/>
          <w:szCs w:val="20"/>
        </w:rPr>
        <w:t xml:space="preserve">εντός </w:t>
      </w:r>
      <w:r w:rsidRPr="001656EE">
        <w:rPr>
          <w:rFonts w:ascii="Tahoma" w:hAnsi="Tahoma" w:cs="Tahoma"/>
          <w:color w:val="000000"/>
          <w:sz w:val="20"/>
          <w:szCs w:val="20"/>
        </w:rPr>
        <w:t>δέκα (10) ημερολογιακών ημερών</w:t>
      </w:r>
      <w:r w:rsidRPr="001656EE">
        <w:rPr>
          <w:rFonts w:ascii="Tahoma" w:hAnsi="Tahoma" w:cs="Tahoma"/>
          <w:sz w:val="20"/>
          <w:szCs w:val="20"/>
        </w:rPr>
        <w:t xml:space="preserve"> από την έγκρισή της, μέσω συστημένης επιστολής ή/ και με απόδειξη παραλαβής, προκειμένου ο Δικαιούχος να</w:t>
      </w:r>
      <w:r w:rsidR="00FB5093">
        <w:rPr>
          <w:rFonts w:ascii="Tahoma" w:hAnsi="Tahoma" w:cs="Tahoma"/>
          <w:sz w:val="20"/>
          <w:szCs w:val="20"/>
        </w:rPr>
        <w:t xml:space="preserve"> </w:t>
      </w:r>
      <w:r w:rsidRPr="001656EE">
        <w:rPr>
          <w:rFonts w:ascii="Tahoma" w:hAnsi="Tahoma" w:cs="Tahoma"/>
          <w:sz w:val="20"/>
          <w:szCs w:val="20"/>
        </w:rPr>
        <w:t xml:space="preserve">διατυπώσει </w:t>
      </w:r>
      <w:r w:rsidR="001A778D">
        <w:rPr>
          <w:rFonts w:ascii="Tahoma" w:hAnsi="Tahoma" w:cs="Tahoma"/>
          <w:sz w:val="20"/>
          <w:szCs w:val="20"/>
        </w:rPr>
        <w:t xml:space="preserve">τυχόν </w:t>
      </w:r>
      <w:r w:rsidRPr="001656EE">
        <w:rPr>
          <w:rFonts w:ascii="Tahoma" w:hAnsi="Tahoma" w:cs="Tahoma"/>
          <w:sz w:val="20"/>
          <w:szCs w:val="20"/>
        </w:rPr>
        <w:t>αντιρρήσεις</w:t>
      </w:r>
      <w:r>
        <w:rPr>
          <w:rFonts w:ascii="Tahoma" w:hAnsi="Tahoma" w:cs="Tahoma"/>
          <w:sz w:val="20"/>
          <w:szCs w:val="20"/>
        </w:rPr>
        <w:t>.</w:t>
      </w:r>
    </w:p>
    <w:p w:rsidR="0060395D" w:rsidRPr="00455AF1" w:rsidRDefault="0060395D" w:rsidP="0060395D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55AF1">
        <w:rPr>
          <w:rFonts w:ascii="Tahoma" w:hAnsi="Tahoma" w:cs="Tahoma"/>
          <w:sz w:val="20"/>
          <w:szCs w:val="20"/>
        </w:rPr>
        <w:t xml:space="preserve">Η </w:t>
      </w:r>
      <w:r w:rsidRPr="0022430F">
        <w:rPr>
          <w:rFonts w:ascii="Tahoma" w:hAnsi="Tahoma" w:cs="Tahoma"/>
          <w:i/>
          <w:sz w:val="20"/>
          <w:szCs w:val="20"/>
        </w:rPr>
        <w:t>Έκθεση Επαλήθευσης Μακροχρόνιων Υποχρεώσεων</w:t>
      </w:r>
      <w:r w:rsidR="00FB5093">
        <w:rPr>
          <w:rFonts w:ascii="Tahoma" w:hAnsi="Tahoma" w:cs="Tahoma"/>
          <w:i/>
          <w:sz w:val="20"/>
          <w:szCs w:val="20"/>
        </w:rPr>
        <w:t xml:space="preserve"> </w:t>
      </w:r>
      <w:r w:rsidR="0022430F" w:rsidRPr="008C0E02">
        <w:rPr>
          <w:rFonts w:ascii="Tahoma" w:hAnsi="Tahoma" w:cs="Tahoma"/>
          <w:sz w:val="20"/>
          <w:szCs w:val="20"/>
        </w:rPr>
        <w:t xml:space="preserve">μαζί με </w:t>
      </w:r>
      <w:r w:rsidRPr="00455AF1">
        <w:rPr>
          <w:rFonts w:ascii="Tahoma" w:hAnsi="Tahoma" w:cs="Tahoma"/>
          <w:sz w:val="20"/>
          <w:szCs w:val="20"/>
        </w:rPr>
        <w:t>τα συνημμένα αποδεικτικά στοιχεία, τα αποδεικτικά γνωσ</w:t>
      </w:r>
      <w:r w:rsidR="0040021B">
        <w:rPr>
          <w:rFonts w:ascii="Tahoma" w:hAnsi="Tahoma" w:cs="Tahoma"/>
          <w:sz w:val="20"/>
          <w:szCs w:val="20"/>
        </w:rPr>
        <w:t>τοποίησης αυτής στο Δικαιούχο κ</w:t>
      </w:r>
      <w:r w:rsidR="00595460">
        <w:rPr>
          <w:rFonts w:ascii="Tahoma" w:hAnsi="Tahoma" w:cs="Tahoma"/>
          <w:sz w:val="20"/>
          <w:szCs w:val="20"/>
        </w:rPr>
        <w:t>λπ.</w:t>
      </w:r>
      <w:r w:rsidRPr="00455AF1">
        <w:rPr>
          <w:rFonts w:ascii="Tahoma" w:hAnsi="Tahoma" w:cs="Tahoma"/>
          <w:sz w:val="20"/>
          <w:szCs w:val="20"/>
        </w:rPr>
        <w:t xml:space="preserve"> αρχειοθετούνται στο Φάκελο Πράξης, που τηρείται με ευθύνη της ΔΑ/</w:t>
      </w:r>
      <w:r w:rsidR="00AD22C2">
        <w:rPr>
          <w:rFonts w:ascii="Tahoma" w:hAnsi="Tahoma" w:cs="Tahoma"/>
          <w:sz w:val="20"/>
          <w:szCs w:val="20"/>
        </w:rPr>
        <w:t xml:space="preserve"> </w:t>
      </w:r>
      <w:r w:rsidRPr="00455AF1">
        <w:rPr>
          <w:rFonts w:ascii="Tahoma" w:hAnsi="Tahoma" w:cs="Tahoma"/>
          <w:sz w:val="20"/>
          <w:szCs w:val="20"/>
        </w:rPr>
        <w:t xml:space="preserve">ΕΦ. </w:t>
      </w:r>
    </w:p>
    <w:p w:rsidR="00F93F8F" w:rsidRDefault="00F93F8F" w:rsidP="00F93F8F">
      <w:pPr>
        <w:pStyle w:val="ListParagraph"/>
        <w:widowControl w:val="0"/>
        <w:numPr>
          <w:ilvl w:val="1"/>
          <w:numId w:val="13"/>
        </w:numPr>
        <w:autoSpaceDE w:val="0"/>
        <w:autoSpaceDN w:val="0"/>
        <w:adjustRightInd w:val="0"/>
        <w:spacing w:before="240" w:after="120" w:line="280" w:lineRule="exact"/>
        <w:ind w:left="425" w:hanging="425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F3193F">
        <w:rPr>
          <w:rFonts w:ascii="Tahoma" w:hAnsi="Tahoma" w:cs="Tahoma"/>
          <w:b/>
          <w:bCs/>
          <w:color w:val="990000"/>
          <w:sz w:val="20"/>
          <w:szCs w:val="20"/>
        </w:rPr>
        <w:t xml:space="preserve">Διαδικασία αντιρρήσεων, οριστικοποίηση Έκθεσης Επαλήθευσης </w:t>
      </w: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Μακροχρόνιων Υποχρεώσεων </w:t>
      </w:r>
      <w:r w:rsidRPr="00F3193F">
        <w:rPr>
          <w:rFonts w:ascii="Tahoma" w:hAnsi="Tahoma" w:cs="Tahoma"/>
          <w:b/>
          <w:bCs/>
          <w:color w:val="990000"/>
          <w:sz w:val="20"/>
          <w:szCs w:val="20"/>
        </w:rPr>
        <w:t xml:space="preserve">και έκδοση </w:t>
      </w:r>
      <w:r w:rsidRPr="004E39D2">
        <w:rPr>
          <w:rFonts w:ascii="Tahoma" w:hAnsi="Tahoma" w:cs="Tahoma"/>
          <w:b/>
          <w:bCs/>
          <w:color w:val="990000"/>
          <w:sz w:val="20"/>
          <w:szCs w:val="20"/>
        </w:rPr>
        <w:t>Απόφασης</w:t>
      </w:r>
      <w:r w:rsidR="00FB5093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="00870B1D">
        <w:rPr>
          <w:rFonts w:ascii="Tahoma" w:hAnsi="Tahoma" w:cs="Tahoma"/>
          <w:b/>
          <w:bCs/>
          <w:color w:val="990000"/>
          <w:sz w:val="20"/>
          <w:szCs w:val="20"/>
        </w:rPr>
        <w:t>Δημοσιονομικής Διόρθωσης</w:t>
      </w:r>
    </w:p>
    <w:p w:rsidR="00F93F8F" w:rsidRPr="00073657" w:rsidRDefault="00F93F8F" w:rsidP="00F93F8F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073657">
        <w:rPr>
          <w:rFonts w:ascii="Tahoma" w:hAnsi="Tahoma" w:cs="Tahoma"/>
          <w:color w:val="000000"/>
          <w:sz w:val="20"/>
          <w:szCs w:val="20"/>
        </w:rPr>
        <w:t xml:space="preserve">Ο Δικαιούχος δύναται να υποβάλει στην αρμόδια Αρχή που διενήργησε την επαλήθευση (ΔΑ/ ΕΦ) εγγράφως τις αντιρρήσεις του, εντός δεκαπέντε (15) ημερολογιακών ημερών από την παραλαβή της </w:t>
      </w:r>
      <w:r w:rsidRPr="00073657">
        <w:rPr>
          <w:rFonts w:ascii="Tahoma" w:hAnsi="Tahoma" w:cs="Tahoma"/>
          <w:i/>
          <w:color w:val="000000"/>
          <w:sz w:val="20"/>
          <w:szCs w:val="20"/>
        </w:rPr>
        <w:t>Έκθεσης Επαλήθευσης</w:t>
      </w:r>
      <w:r w:rsidR="00FB5093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22430F">
        <w:rPr>
          <w:rFonts w:ascii="Tahoma" w:hAnsi="Tahoma" w:cs="Tahoma"/>
          <w:i/>
          <w:sz w:val="20"/>
          <w:szCs w:val="20"/>
        </w:rPr>
        <w:t>Μακροχρόνιων Υποχρεώσεων</w:t>
      </w:r>
      <w:r w:rsidRPr="00073657">
        <w:rPr>
          <w:rFonts w:ascii="Tahoma" w:hAnsi="Tahoma" w:cs="Tahoma"/>
          <w:color w:val="000000"/>
          <w:sz w:val="20"/>
          <w:szCs w:val="20"/>
        </w:rPr>
        <w:t>.</w:t>
      </w:r>
    </w:p>
    <w:p w:rsidR="00F93F8F" w:rsidRDefault="00F93F8F" w:rsidP="00F93F8F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073657">
        <w:rPr>
          <w:rFonts w:ascii="Tahoma" w:hAnsi="Tahoma" w:cs="Tahoma"/>
          <w:color w:val="000000"/>
          <w:sz w:val="20"/>
          <w:szCs w:val="20"/>
        </w:rPr>
        <w:t>Οι αντιρρήσεις εξετάζονται από τη ΔΑ/</w:t>
      </w:r>
      <w:r w:rsidR="001873A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73657">
        <w:rPr>
          <w:rFonts w:ascii="Tahoma" w:hAnsi="Tahoma" w:cs="Tahoma"/>
          <w:color w:val="000000"/>
          <w:sz w:val="20"/>
          <w:szCs w:val="20"/>
        </w:rPr>
        <w:t>ΕΦ που διενήργησε την επαλήθευση εντός δεκαπέντε (15) ημερολογιακών ημερών από την υποβολή τους.</w:t>
      </w:r>
      <w:r w:rsidR="001873A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73657">
        <w:rPr>
          <w:rFonts w:ascii="Tahoma" w:hAnsi="Tahoma" w:cs="Tahoma"/>
          <w:color w:val="000000"/>
          <w:sz w:val="20"/>
          <w:szCs w:val="20"/>
        </w:rPr>
        <w:t>Σε περίπτωση που απαιτείται περαιτέρω διερεύνηση, προκειμένου να ληφθεί απόφαση για το βάσιμο ή μη των αντιρρήσεων που υποβλήθηκαν, δύναται να διενεργείται άμεσα συμπληρωματική επαλήθευση από το</w:t>
      </w:r>
      <w:r w:rsidR="00C7682B">
        <w:rPr>
          <w:rFonts w:ascii="Tahoma" w:hAnsi="Tahoma" w:cs="Tahoma"/>
          <w:color w:val="000000"/>
          <w:sz w:val="20"/>
          <w:szCs w:val="20"/>
        </w:rPr>
        <w:t xml:space="preserve"> άτομο</w:t>
      </w:r>
      <w:r w:rsidR="005662D4">
        <w:rPr>
          <w:rFonts w:ascii="Tahoma" w:hAnsi="Tahoma" w:cs="Tahoma"/>
          <w:color w:val="000000"/>
          <w:sz w:val="20"/>
          <w:szCs w:val="20"/>
        </w:rPr>
        <w:t>/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 Όργανο που διενήργησε την αρχική επαλήθευση. Στην περίπτωση αυτή, η Έκθεση ολοκληρώνεται εντός δέκα (10) ημερολογιακών ημερών από την ημερομηνία διενέργειας της συμπληρωματικής επαλήθευσης.</w:t>
      </w:r>
    </w:p>
    <w:p w:rsidR="00006FCA" w:rsidRPr="00073657" w:rsidRDefault="00006FCA" w:rsidP="00006FCA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Μ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ετά την εξέταση </w:t>
      </w:r>
      <w:r>
        <w:rPr>
          <w:rFonts w:ascii="Tahoma" w:hAnsi="Tahoma" w:cs="Tahoma"/>
          <w:color w:val="000000"/>
          <w:sz w:val="20"/>
          <w:szCs w:val="20"/>
        </w:rPr>
        <w:t>των αντιρρήσεων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 ή σε περίπτωση παρέλευσης άπρακτης της προθεσμίας υποβολής των αντιρρήσεων, η Έκθεση οριστικοποιείται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93F8F" w:rsidRPr="00411754" w:rsidRDefault="00F93F8F" w:rsidP="00411754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 w:rsidRPr="00411754">
        <w:rPr>
          <w:rFonts w:ascii="Tahoma" w:hAnsi="Tahoma" w:cs="Tahoma"/>
          <w:color w:val="000000"/>
          <w:sz w:val="20"/>
          <w:szCs w:val="20"/>
        </w:rPr>
        <w:t xml:space="preserve">Όταν η οριστική Έκθεση δεν προτείνει δημοσιονομική </w:t>
      </w:r>
      <w:r w:rsidR="00DB18FE">
        <w:rPr>
          <w:rFonts w:ascii="Tahoma" w:hAnsi="Tahoma" w:cs="Tahoma"/>
          <w:color w:val="000000"/>
          <w:sz w:val="20"/>
          <w:szCs w:val="20"/>
        </w:rPr>
        <w:t>διόρθωση ή</w:t>
      </w:r>
      <w:r w:rsidRPr="00411754">
        <w:rPr>
          <w:rFonts w:ascii="Tahoma" w:hAnsi="Tahoma" w:cs="Tahoma"/>
          <w:color w:val="000000"/>
          <w:sz w:val="20"/>
          <w:szCs w:val="20"/>
        </w:rPr>
        <w:t xml:space="preserve"> και ανάκτηση</w:t>
      </w:r>
      <w:r w:rsidR="00AE58F2" w:rsidRPr="00411754">
        <w:rPr>
          <w:rFonts w:ascii="Tahoma" w:hAnsi="Tahoma" w:cs="Tahoma"/>
          <w:color w:val="000000"/>
          <w:sz w:val="20"/>
          <w:szCs w:val="20"/>
        </w:rPr>
        <w:t>,</w:t>
      </w:r>
      <w:r w:rsidR="001873AB" w:rsidRPr="0041175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E58F2" w:rsidRPr="00411754">
        <w:rPr>
          <w:rFonts w:ascii="Tahoma" w:hAnsi="Tahoma" w:cs="Tahoma"/>
          <w:color w:val="000000"/>
          <w:sz w:val="20"/>
          <w:szCs w:val="20"/>
        </w:rPr>
        <w:t>εγκρίνεται από τον Προϊστάμενο της αρμόδιας ΔΑ/ ΕΦ</w:t>
      </w:r>
      <w:r w:rsidR="00411754">
        <w:rPr>
          <w:rFonts w:ascii="Tahoma" w:hAnsi="Tahoma" w:cs="Tahoma"/>
          <w:color w:val="000000"/>
          <w:sz w:val="20"/>
          <w:szCs w:val="20"/>
        </w:rPr>
        <w:t>, καταχωρίζεται στο ΟΠΣ</w:t>
      </w:r>
      <w:r w:rsidR="00AE58F2" w:rsidRPr="00411754">
        <w:rPr>
          <w:rFonts w:ascii="Tahoma" w:hAnsi="Tahoma" w:cs="Tahoma"/>
          <w:color w:val="000000"/>
          <w:sz w:val="20"/>
          <w:szCs w:val="20"/>
        </w:rPr>
        <w:t xml:space="preserve"> και κοινοποιείται </w:t>
      </w:r>
      <w:r w:rsidRPr="00411754">
        <w:rPr>
          <w:rFonts w:ascii="Tahoma" w:hAnsi="Tahoma" w:cs="Tahoma"/>
          <w:color w:val="000000"/>
          <w:sz w:val="20"/>
          <w:szCs w:val="20"/>
        </w:rPr>
        <w:t>στο Δικαιούχο. Όταν περιλαμβάνει συστάσεις προς το Δικαιούχο, η αρμόδια Δ</w:t>
      </w:r>
      <w:r w:rsidR="00AE58F2" w:rsidRPr="00411754">
        <w:rPr>
          <w:rFonts w:ascii="Tahoma" w:hAnsi="Tahoma" w:cs="Tahoma"/>
          <w:color w:val="000000"/>
          <w:sz w:val="20"/>
          <w:szCs w:val="20"/>
        </w:rPr>
        <w:t>Α/ ΕΦ παρακολουθεί τη συμμόρφωσή</w:t>
      </w:r>
      <w:r w:rsidRPr="00411754">
        <w:rPr>
          <w:rFonts w:ascii="Tahoma" w:hAnsi="Tahoma" w:cs="Tahoma"/>
          <w:color w:val="000000"/>
          <w:sz w:val="20"/>
          <w:szCs w:val="20"/>
        </w:rPr>
        <w:t xml:space="preserve"> του </w:t>
      </w:r>
      <w:r w:rsidRPr="00411754">
        <w:rPr>
          <w:rFonts w:ascii="Tahoma" w:hAnsi="Tahoma" w:cs="Tahoma"/>
          <w:i/>
          <w:color w:val="000000"/>
          <w:sz w:val="20"/>
          <w:szCs w:val="20"/>
        </w:rPr>
        <w:t>(Διαδικασία ΔΙΙ_8).</w:t>
      </w:r>
    </w:p>
    <w:p w:rsidR="00B75837" w:rsidRPr="00455AF1" w:rsidRDefault="00F93F8F" w:rsidP="00B75837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11754">
        <w:rPr>
          <w:rFonts w:ascii="Tahoma" w:hAnsi="Tahoma" w:cs="Tahoma"/>
          <w:color w:val="000000"/>
          <w:sz w:val="20"/>
          <w:szCs w:val="20"/>
        </w:rPr>
        <w:t>Όταν η οριστική Έκθεση προ</w:t>
      </w:r>
      <w:r w:rsidR="00DB18FE">
        <w:rPr>
          <w:rFonts w:ascii="Tahoma" w:hAnsi="Tahoma" w:cs="Tahoma"/>
          <w:color w:val="000000"/>
          <w:sz w:val="20"/>
          <w:szCs w:val="20"/>
        </w:rPr>
        <w:t>τείνει δημοσιονομική διόρθωση ή</w:t>
      </w:r>
      <w:r w:rsidRPr="00411754">
        <w:rPr>
          <w:rFonts w:ascii="Tahoma" w:hAnsi="Tahoma" w:cs="Tahoma"/>
          <w:color w:val="000000"/>
          <w:sz w:val="20"/>
          <w:szCs w:val="20"/>
        </w:rPr>
        <w:t xml:space="preserve"> και ανάκτηση, αυτή εγκρίνεται από το Γενικό ή Ειδικό Γραμματέα ή Περιφερειάρχη ή άλλο αρμόδιο όργανο κατά τα προβλεπόμενα στο άρθρο 7 της ΚΥΑ Δημοσιονομικών Διορθώσεων. Στην περίπτωση αυτή, η ΔΑ/ ΕΦ</w:t>
      </w:r>
      <w:r w:rsidR="004B0B3B" w:rsidRPr="00411754">
        <w:rPr>
          <w:rFonts w:ascii="Tahoma" w:hAnsi="Tahoma" w:cs="Tahoma"/>
          <w:color w:val="000000"/>
          <w:sz w:val="20"/>
          <w:szCs w:val="20"/>
        </w:rPr>
        <w:t xml:space="preserve"> προωθεί στο ανωτέρω</w:t>
      </w:r>
      <w:bookmarkStart w:id="2" w:name="_GoBack"/>
      <w:bookmarkEnd w:id="2"/>
      <w:r w:rsidR="004B0B3B" w:rsidRPr="00411754">
        <w:rPr>
          <w:rFonts w:ascii="Tahoma" w:hAnsi="Tahoma" w:cs="Tahoma"/>
          <w:color w:val="000000"/>
          <w:sz w:val="20"/>
          <w:szCs w:val="20"/>
        </w:rPr>
        <w:t xml:space="preserve"> όργανο για έγκριση την οριστική </w:t>
      </w:r>
      <w:r w:rsidR="004B0B3B" w:rsidRPr="00411754">
        <w:rPr>
          <w:rFonts w:ascii="Tahoma" w:hAnsi="Tahoma" w:cs="Tahoma"/>
          <w:i/>
          <w:color w:val="000000"/>
          <w:sz w:val="20"/>
          <w:szCs w:val="20"/>
        </w:rPr>
        <w:t>Έκθεση Επαλήθευσης Μακροχρόνιων Υποχρεώσεων</w:t>
      </w:r>
      <w:r w:rsidRPr="0041175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B0B3B" w:rsidRPr="00411754"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Pr="00411754">
        <w:rPr>
          <w:rFonts w:ascii="Tahoma" w:hAnsi="Tahoma" w:cs="Tahoma"/>
          <w:color w:val="000000"/>
          <w:sz w:val="20"/>
          <w:szCs w:val="20"/>
        </w:rPr>
        <w:t xml:space="preserve">την </w:t>
      </w:r>
      <w:r w:rsidRPr="00411754">
        <w:rPr>
          <w:rFonts w:ascii="Tahoma" w:hAnsi="Tahoma" w:cs="Tahoma"/>
          <w:i/>
          <w:color w:val="000000"/>
          <w:sz w:val="20"/>
          <w:szCs w:val="20"/>
        </w:rPr>
        <w:t>Απόφαση Δημοσιονομικής Διόρθωσης (Ε.ΙΙ.7_4).</w:t>
      </w:r>
      <w:r w:rsidR="001873AB" w:rsidRPr="00411754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8C552D">
        <w:rPr>
          <w:rFonts w:ascii="Tahoma" w:hAnsi="Tahoma" w:cs="Tahoma"/>
          <w:color w:val="000000"/>
          <w:sz w:val="20"/>
          <w:szCs w:val="20"/>
        </w:rPr>
        <w:t>Η</w:t>
      </w:r>
      <w:r w:rsidR="00B7583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75837" w:rsidRPr="00073657">
        <w:rPr>
          <w:rFonts w:ascii="Tahoma" w:hAnsi="Tahoma" w:cs="Tahoma"/>
          <w:color w:val="000000"/>
          <w:sz w:val="20"/>
          <w:szCs w:val="20"/>
        </w:rPr>
        <w:t xml:space="preserve">οριστική </w:t>
      </w:r>
      <w:r w:rsidR="00B75837" w:rsidRPr="00073657">
        <w:rPr>
          <w:rFonts w:ascii="Tahoma" w:hAnsi="Tahoma" w:cs="Tahoma"/>
          <w:i/>
          <w:color w:val="000000"/>
          <w:sz w:val="20"/>
          <w:szCs w:val="20"/>
        </w:rPr>
        <w:t>Έκθεση Επαλήθευσης</w:t>
      </w:r>
      <w:r w:rsidR="001873AB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B75837">
        <w:rPr>
          <w:rFonts w:ascii="Tahoma" w:hAnsi="Tahoma" w:cs="Tahoma"/>
          <w:i/>
          <w:color w:val="000000"/>
          <w:sz w:val="20"/>
          <w:szCs w:val="20"/>
        </w:rPr>
        <w:t>Μακροχρόνιων Υποχρεώσεων</w:t>
      </w:r>
      <w:r w:rsidR="001A778D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B75837" w:rsidRPr="00455AF1">
        <w:rPr>
          <w:rFonts w:ascii="Tahoma" w:hAnsi="Tahoma" w:cs="Tahoma"/>
          <w:sz w:val="20"/>
          <w:szCs w:val="20"/>
        </w:rPr>
        <w:t xml:space="preserve">καταχωρίζεται στο ΟΠΣ. </w:t>
      </w:r>
    </w:p>
    <w:p w:rsidR="00F93F8F" w:rsidRPr="00073657" w:rsidRDefault="00F93F8F" w:rsidP="00F93F8F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073657">
        <w:rPr>
          <w:rFonts w:ascii="Tahoma" w:hAnsi="Tahoma" w:cs="Tahoma"/>
          <w:color w:val="000000"/>
          <w:sz w:val="20"/>
          <w:szCs w:val="20"/>
        </w:rPr>
        <w:t xml:space="preserve">Η </w:t>
      </w:r>
      <w:r w:rsidRPr="00073657">
        <w:rPr>
          <w:rFonts w:ascii="Tahoma" w:hAnsi="Tahoma" w:cs="Tahoma"/>
          <w:i/>
          <w:color w:val="000000"/>
          <w:sz w:val="20"/>
          <w:szCs w:val="20"/>
        </w:rPr>
        <w:t xml:space="preserve">Απόφαση Δημοσιονομικής Διόρθωσης 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και η οριστική </w:t>
      </w:r>
      <w:r w:rsidRPr="00073657">
        <w:rPr>
          <w:rFonts w:ascii="Tahoma" w:hAnsi="Tahoma" w:cs="Tahoma"/>
          <w:i/>
          <w:color w:val="000000"/>
          <w:sz w:val="20"/>
          <w:szCs w:val="20"/>
        </w:rPr>
        <w:t>Έκθεση Επαλήθευσης</w:t>
      </w:r>
      <w:r w:rsidR="001873AB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0B3218">
        <w:rPr>
          <w:rFonts w:ascii="Tahoma" w:hAnsi="Tahoma" w:cs="Tahoma"/>
          <w:i/>
          <w:color w:val="000000"/>
          <w:sz w:val="20"/>
          <w:szCs w:val="20"/>
        </w:rPr>
        <w:t xml:space="preserve">Μακροχρόνιων Υποχρεώσεων </w:t>
      </w:r>
      <w:r w:rsidRPr="00073657">
        <w:rPr>
          <w:rFonts w:ascii="Tahoma" w:hAnsi="Tahoma" w:cs="Tahoma"/>
          <w:color w:val="000000"/>
          <w:sz w:val="20"/>
          <w:szCs w:val="20"/>
        </w:rPr>
        <w:t>κοινοποιούνται στο Δικαιούχο</w:t>
      </w:r>
      <w:r>
        <w:rPr>
          <w:rFonts w:ascii="Tahoma" w:hAnsi="Tahoma" w:cs="Tahoma"/>
          <w:color w:val="000000"/>
          <w:sz w:val="20"/>
          <w:szCs w:val="20"/>
        </w:rPr>
        <w:t xml:space="preserve"> με συστημένη επιστολή ή/ και με απόδειξη παραλαβής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, στην Αρχή Πιστοποίησης </w:t>
      </w:r>
      <w:r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στην Αρχή Ελέγχου. </w:t>
      </w:r>
    </w:p>
    <w:p w:rsidR="00F93F8F" w:rsidRPr="00073657" w:rsidRDefault="00F93F8F" w:rsidP="00F93F8F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Με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 την έγκριση της οριστικής Έκθεσης από το ως ανωτέρω αρμόδιο όργανο, </w:t>
      </w:r>
      <w:r>
        <w:rPr>
          <w:rFonts w:ascii="Tahoma" w:hAnsi="Tahoma" w:cs="Tahoma"/>
          <w:color w:val="000000"/>
          <w:sz w:val="20"/>
          <w:szCs w:val="20"/>
        </w:rPr>
        <w:t>η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 αρμόδια ΔΑ/ ΕΦ συντάσσει</w:t>
      </w:r>
      <w:r w:rsidR="006962FF">
        <w:rPr>
          <w:rFonts w:ascii="Tahoma" w:hAnsi="Tahoma" w:cs="Tahoma"/>
          <w:color w:val="000000"/>
          <w:sz w:val="20"/>
          <w:szCs w:val="20"/>
        </w:rPr>
        <w:t>,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962FF">
        <w:rPr>
          <w:rFonts w:ascii="Tahoma" w:hAnsi="Tahoma" w:cs="Tahoma"/>
          <w:color w:val="000000"/>
          <w:sz w:val="20"/>
          <w:szCs w:val="20"/>
        </w:rPr>
        <w:t xml:space="preserve">όταν απαιτείται, </w:t>
      </w:r>
      <w:r w:rsidR="0045775A">
        <w:rPr>
          <w:rFonts w:ascii="Tahoma" w:hAnsi="Tahoma" w:cs="Tahoma"/>
          <w:i/>
          <w:sz w:val="20"/>
          <w:szCs w:val="20"/>
        </w:rPr>
        <w:t>Δελτίο Καταχώρι</w:t>
      </w:r>
      <w:r w:rsidRPr="00073657">
        <w:rPr>
          <w:rFonts w:ascii="Tahoma" w:hAnsi="Tahoma" w:cs="Tahoma"/>
          <w:i/>
          <w:sz w:val="20"/>
          <w:szCs w:val="20"/>
        </w:rPr>
        <w:t xml:space="preserve">σης Διορθώσεων (ΕΙΙ.7_5), </w:t>
      </w:r>
      <w:r w:rsidRPr="00073657">
        <w:rPr>
          <w:rFonts w:ascii="Tahoma" w:hAnsi="Tahoma" w:cs="Tahoma"/>
          <w:sz w:val="20"/>
          <w:szCs w:val="20"/>
        </w:rPr>
        <w:t xml:space="preserve">μέσω του οποίου 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καταχωρίζει στο ΟΠΣ, εντός τριών (3) </w:t>
      </w:r>
      <w:r w:rsidRPr="00073657">
        <w:rPr>
          <w:rFonts w:ascii="Tahoma" w:hAnsi="Tahoma" w:cs="Tahoma"/>
          <w:color w:val="000000"/>
          <w:sz w:val="20"/>
          <w:szCs w:val="20"/>
        </w:rPr>
        <w:lastRenderedPageBreak/>
        <w:t>εργάσιμων ημερών από την έγκριση, το ποσό της δημοσιονομικής διόρθωσης, μειώνοντας αντίστοιχα τα συγχρηματοδοτούμενα ποσά που έχουν ήδη καταχωρ</w:t>
      </w:r>
      <w:r w:rsidR="00186A0E">
        <w:rPr>
          <w:rFonts w:ascii="Tahoma" w:hAnsi="Tahoma" w:cs="Tahoma"/>
          <w:color w:val="000000"/>
          <w:sz w:val="20"/>
          <w:szCs w:val="20"/>
        </w:rPr>
        <w:t>ισ</w:t>
      </w:r>
      <w:r w:rsidRPr="00073657">
        <w:rPr>
          <w:rFonts w:ascii="Tahoma" w:hAnsi="Tahoma" w:cs="Tahoma"/>
          <w:color w:val="000000"/>
          <w:sz w:val="20"/>
          <w:szCs w:val="20"/>
        </w:rPr>
        <w:t xml:space="preserve">θεί. </w:t>
      </w:r>
    </w:p>
    <w:p w:rsidR="00F93F8F" w:rsidRDefault="00F93F8F" w:rsidP="00F93F8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073657">
        <w:rPr>
          <w:rFonts w:ascii="Tahoma" w:hAnsi="Tahoma" w:cs="Tahoma"/>
          <w:sz w:val="20"/>
          <w:szCs w:val="20"/>
        </w:rPr>
        <w:t xml:space="preserve">Η </w:t>
      </w:r>
      <w:r w:rsidRPr="006962FF">
        <w:rPr>
          <w:rFonts w:ascii="Tahoma" w:hAnsi="Tahoma" w:cs="Tahoma"/>
          <w:i/>
          <w:sz w:val="20"/>
          <w:szCs w:val="20"/>
        </w:rPr>
        <w:t>Απόφαση Δημοσιονομικής Διόρθωσης</w:t>
      </w:r>
      <w:r w:rsidRPr="00073657">
        <w:rPr>
          <w:rFonts w:ascii="Tahoma" w:hAnsi="Tahoma" w:cs="Tahoma"/>
          <w:sz w:val="20"/>
          <w:szCs w:val="20"/>
        </w:rPr>
        <w:t xml:space="preserve"> συνιστά και Απόφαση Ανάκτησης </w:t>
      </w:r>
      <w:proofErr w:type="spellStart"/>
      <w:r w:rsidRPr="00073657">
        <w:rPr>
          <w:rFonts w:ascii="Tahoma" w:hAnsi="Tahoma" w:cs="Tahoma"/>
          <w:sz w:val="20"/>
          <w:szCs w:val="20"/>
        </w:rPr>
        <w:t>αχρεωστήτως</w:t>
      </w:r>
      <w:proofErr w:type="spellEnd"/>
      <w:r w:rsidRPr="00073657">
        <w:rPr>
          <w:rFonts w:ascii="Tahoma" w:hAnsi="Tahoma" w:cs="Tahoma"/>
          <w:sz w:val="20"/>
          <w:szCs w:val="20"/>
        </w:rPr>
        <w:t xml:space="preserve"> ή παρανόμως καταβληθέντων ποσών στις περιπτώσεις που προβλέπονται από την παρ. 3 του άρθρου 33 του Ν. 4314/2014, οπότε και ενεργοποιείται η </w:t>
      </w:r>
      <w:r w:rsidRPr="00073657">
        <w:rPr>
          <w:rFonts w:ascii="Tahoma" w:hAnsi="Tahoma" w:cs="Tahoma"/>
          <w:i/>
          <w:color w:val="000000"/>
          <w:sz w:val="20"/>
          <w:szCs w:val="20"/>
        </w:rPr>
        <w:t xml:space="preserve">Διαδικασία ΔΙΙΙ_2: Ανάκτηση </w:t>
      </w:r>
      <w:proofErr w:type="spellStart"/>
      <w:r w:rsidRPr="00073657">
        <w:rPr>
          <w:rFonts w:ascii="Tahoma" w:hAnsi="Tahoma" w:cs="Tahoma"/>
          <w:i/>
          <w:color w:val="000000"/>
          <w:sz w:val="20"/>
          <w:szCs w:val="20"/>
        </w:rPr>
        <w:t>αχρεωστήτως</w:t>
      </w:r>
      <w:proofErr w:type="spellEnd"/>
      <w:r w:rsidRPr="00073657">
        <w:rPr>
          <w:rFonts w:ascii="Tahoma" w:hAnsi="Tahoma" w:cs="Tahoma"/>
          <w:i/>
          <w:color w:val="000000"/>
          <w:sz w:val="20"/>
          <w:szCs w:val="20"/>
        </w:rPr>
        <w:t xml:space="preserve"> ή παρανόμως καταβληθέντων ποσών</w:t>
      </w:r>
      <w:r w:rsidRPr="00073657">
        <w:rPr>
          <w:rFonts w:ascii="Tahoma" w:hAnsi="Tahoma" w:cs="Tahoma"/>
          <w:sz w:val="20"/>
          <w:szCs w:val="20"/>
        </w:rPr>
        <w:t>.</w:t>
      </w:r>
    </w:p>
    <w:p w:rsidR="00F93F8F" w:rsidRDefault="00F93F8F" w:rsidP="00F93F8F">
      <w:pPr>
        <w:spacing w:before="240"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2F384E">
        <w:rPr>
          <w:rFonts w:ascii="Tahoma" w:hAnsi="Tahoma" w:cs="Tahoma"/>
          <w:b/>
          <w:bCs/>
          <w:color w:val="800000"/>
          <w:sz w:val="20"/>
          <w:szCs w:val="20"/>
        </w:rPr>
        <w:t>ΕΝΔΕΙΞΕΙΣ ΑΠΑΤΗΣ</w:t>
      </w:r>
    </w:p>
    <w:p w:rsidR="00F93F8F" w:rsidRDefault="00F93F8F" w:rsidP="00F93F8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D9132E">
        <w:rPr>
          <w:rFonts w:ascii="Tahoma" w:hAnsi="Tahoma" w:cs="Tahoma"/>
          <w:color w:val="000000"/>
          <w:sz w:val="20"/>
          <w:szCs w:val="20"/>
        </w:rPr>
        <w:t xml:space="preserve">Στην περίπτωση που </w:t>
      </w:r>
      <w:r w:rsidR="0066732E">
        <w:rPr>
          <w:rFonts w:ascii="Tahoma" w:hAnsi="Tahoma" w:cs="Tahoma"/>
          <w:sz w:val="20"/>
          <w:szCs w:val="20"/>
        </w:rPr>
        <w:t xml:space="preserve">στο πλαίσιο της </w:t>
      </w:r>
      <w:r>
        <w:rPr>
          <w:rFonts w:ascii="Tahoma" w:hAnsi="Tahoma" w:cs="Tahoma"/>
          <w:sz w:val="20"/>
          <w:szCs w:val="20"/>
        </w:rPr>
        <w:t xml:space="preserve">επαλήθευσης, </w:t>
      </w:r>
      <w:r>
        <w:rPr>
          <w:rFonts w:ascii="Tahoma" w:hAnsi="Tahoma" w:cs="Tahoma"/>
          <w:color w:val="000000"/>
          <w:sz w:val="20"/>
          <w:szCs w:val="20"/>
        </w:rPr>
        <w:t xml:space="preserve">η </w:t>
      </w:r>
      <w:r>
        <w:rPr>
          <w:rFonts w:ascii="Tahoma" w:hAnsi="Tahoma" w:cs="Tahoma"/>
          <w:sz w:val="20"/>
          <w:szCs w:val="20"/>
        </w:rPr>
        <w:t>ΔΑ/</w:t>
      </w:r>
      <w:r w:rsidR="00AD22C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ΕΦ εντοπίζει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παρατυπία </w:t>
      </w:r>
      <w:r>
        <w:rPr>
          <w:rFonts w:ascii="Tahoma" w:hAnsi="Tahoma" w:cs="Tahoma"/>
          <w:color w:val="000000"/>
          <w:sz w:val="20"/>
          <w:szCs w:val="20"/>
        </w:rPr>
        <w:t xml:space="preserve">που κρίνει ότι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ενέχει ένδειξη απάτης, ενεργοποιείται </w:t>
      </w:r>
      <w:r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η Διαδικασία: </w:t>
      </w:r>
      <w:r w:rsidR="0029319C">
        <w:rPr>
          <w:rFonts w:ascii="Tahoma" w:hAnsi="Tahoma" w:cs="Tahoma"/>
          <w:i/>
          <w:iCs/>
          <w:color w:val="000000"/>
          <w:sz w:val="20"/>
          <w:szCs w:val="20"/>
        </w:rPr>
        <w:t>Δ</w:t>
      </w:r>
      <w:r w:rsidRPr="00D9132E">
        <w:rPr>
          <w:rFonts w:ascii="Tahoma" w:hAnsi="Tahoma" w:cs="Tahoma"/>
          <w:i/>
          <w:iCs/>
          <w:color w:val="000000"/>
          <w:sz w:val="20"/>
          <w:szCs w:val="20"/>
          <w:lang w:val="en-US"/>
        </w:rPr>
        <w:t>VIII</w:t>
      </w:r>
      <w:r w:rsidRPr="00D9132E">
        <w:rPr>
          <w:rFonts w:ascii="Tahoma" w:hAnsi="Tahoma" w:cs="Tahoma"/>
          <w:i/>
          <w:iCs/>
          <w:color w:val="000000"/>
          <w:sz w:val="20"/>
          <w:szCs w:val="20"/>
        </w:rPr>
        <w:t>_2: Εξέταση ενδείξεων απάτης και αναφορά υπονοιών απάτης.</w:t>
      </w:r>
    </w:p>
    <w:p w:rsidR="008A3ECE" w:rsidRPr="001A5D05" w:rsidRDefault="009F39C5" w:rsidP="00B96ED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1A5D05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850175" w:rsidRPr="00B96EDC" w:rsidTr="00365B30">
        <w:trPr>
          <w:tblHeader/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0175" w:rsidRPr="00B96EDC" w:rsidRDefault="00850175" w:rsidP="00B96EDC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B96EDC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0175" w:rsidRPr="00B96EDC" w:rsidRDefault="00850175" w:rsidP="00B96EDC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B96EDC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Περιγραφή</w:t>
            </w:r>
          </w:p>
        </w:tc>
      </w:tr>
      <w:tr w:rsidR="000133FE" w:rsidRPr="00B96EDC" w:rsidTr="00365B30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33FE" w:rsidRPr="00B96EDC" w:rsidRDefault="000133FE" w:rsidP="00B96ED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96EDC">
              <w:rPr>
                <w:rFonts w:ascii="Tahoma" w:hAnsi="Tahoma" w:cs="Tahoma"/>
                <w:sz w:val="20"/>
                <w:szCs w:val="20"/>
              </w:rPr>
              <w:t>Ε.ΙΙ.11_1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33FE" w:rsidRPr="00B96EDC" w:rsidRDefault="000133FE" w:rsidP="00B96EDC">
            <w:pPr>
              <w:spacing w:before="60" w:after="6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96EDC">
              <w:rPr>
                <w:rFonts w:ascii="Tahoma" w:hAnsi="Tahoma" w:cs="Tahoma"/>
                <w:sz w:val="20"/>
                <w:szCs w:val="20"/>
              </w:rPr>
              <w:t>Έκθεση Επαλήθευσης Μακροχρόνιων Υποχρεώσεων</w:t>
            </w:r>
          </w:p>
        </w:tc>
      </w:tr>
    </w:tbl>
    <w:p w:rsidR="00365B30" w:rsidRPr="00B96EDC" w:rsidRDefault="00365B30" w:rsidP="00B96EDC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FD7516">
        <w:rPr>
          <w:rFonts w:ascii="Tahoma" w:hAnsi="Tahoma" w:cs="Tahoma"/>
          <w:sz w:val="20"/>
          <w:szCs w:val="20"/>
        </w:rPr>
        <w:t>Στη Διαδικασία αυτή, δύναται να χρησιμοποιηθούν τυποποιημένα έντυπα της Διαδικασίας ΔΙΙ_7:</w:t>
      </w: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365B30" w:rsidRPr="00B96EDC" w:rsidTr="0069297D">
        <w:trPr>
          <w:jc w:val="center"/>
        </w:trPr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65B30" w:rsidRPr="00FD7516" w:rsidRDefault="00365B30" w:rsidP="00B96EDC">
            <w:pPr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FD7516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65B30" w:rsidRPr="00FD7516" w:rsidRDefault="00365B30" w:rsidP="00B96EDC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FD7516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365B30" w:rsidRPr="00B96EDC" w:rsidTr="0069297D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65B30" w:rsidRPr="00FD7516" w:rsidRDefault="00FD7516" w:rsidP="00B96ED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Ε.ΙΙ.7_4</w:t>
            </w:r>
            <w:r w:rsidR="00365B30" w:rsidRPr="00FD7516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65B30" w:rsidRPr="00FD7516" w:rsidRDefault="00365B30" w:rsidP="00B96EDC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D7516">
              <w:rPr>
                <w:rFonts w:ascii="Tahoma" w:hAnsi="Tahoma" w:cs="Tahoma"/>
                <w:sz w:val="20"/>
                <w:szCs w:val="20"/>
              </w:rPr>
              <w:t>Απόφαση Δημοσιονομικής Διόρθωσης</w:t>
            </w:r>
          </w:p>
        </w:tc>
      </w:tr>
      <w:tr w:rsidR="00F73801" w:rsidRPr="00B96EDC" w:rsidTr="00957DAA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801" w:rsidRPr="00FD7516" w:rsidRDefault="00FD7516" w:rsidP="00365B30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Ε.ΙΙ.7_5: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801" w:rsidRPr="00FD7516" w:rsidRDefault="0045775A" w:rsidP="00957DAA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Δελτίο Καταχώρι</w:t>
            </w:r>
            <w:r w:rsidR="00F73801" w:rsidRPr="00FD7516">
              <w:rPr>
                <w:rFonts w:ascii="Tahoma" w:hAnsi="Tahoma" w:cs="Tahoma"/>
                <w:sz w:val="20"/>
                <w:szCs w:val="20"/>
              </w:rPr>
              <w:t>σης Διορθώσεων (ΔΚΔ)</w:t>
            </w:r>
          </w:p>
        </w:tc>
      </w:tr>
    </w:tbl>
    <w:p w:rsidR="009C7D0D" w:rsidRDefault="009C7D0D" w:rsidP="00AB0E8D">
      <w:pPr>
        <w:spacing w:before="0"/>
        <w:jc w:val="left"/>
        <w:rPr>
          <w:rFonts w:ascii="Tahoma" w:hAnsi="Tahoma" w:cs="Tahoma"/>
          <w:sz w:val="20"/>
          <w:szCs w:val="20"/>
          <w:lang w:val="en-US"/>
        </w:rPr>
      </w:pPr>
    </w:p>
    <w:p w:rsidR="00A8759F" w:rsidRPr="00CD3B4F" w:rsidRDefault="00A8759F" w:rsidP="00A8759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>6. Διάγραμμα ροής</w:t>
      </w:r>
    </w:p>
    <w:p w:rsidR="00A8759F" w:rsidRPr="00A8759F" w:rsidRDefault="00A8759F" w:rsidP="00AB0E8D">
      <w:pPr>
        <w:spacing w:before="0"/>
        <w:jc w:val="left"/>
        <w:rPr>
          <w:rFonts w:ascii="Tahoma" w:hAnsi="Tahoma" w:cs="Tahoma"/>
          <w:sz w:val="20"/>
          <w:szCs w:val="20"/>
        </w:rPr>
      </w:pPr>
    </w:p>
    <w:sectPr w:rsidR="00A8759F" w:rsidRPr="00A8759F" w:rsidSect="00B94327">
      <w:footerReference w:type="default" r:id="rId9"/>
      <w:pgSz w:w="11906" w:h="16838"/>
      <w:pgMar w:top="1021" w:right="991" w:bottom="1418" w:left="993" w:header="709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67" w:rsidRDefault="00E47E67" w:rsidP="00882E5E">
      <w:r>
        <w:separator/>
      </w:r>
    </w:p>
  </w:endnote>
  <w:endnote w:type="continuationSeparator" w:id="0">
    <w:p w:rsidR="00E47E67" w:rsidRDefault="00E47E67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87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F1845" w:rsidRPr="00F070A4" w:rsidTr="00C54173">
      <w:trPr>
        <w:jc w:val="center"/>
      </w:trPr>
      <w:tc>
        <w:tcPr>
          <w:tcW w:w="3383" w:type="dxa"/>
          <w:shd w:val="clear" w:color="auto" w:fill="auto"/>
        </w:tcPr>
        <w:p w:rsidR="00FF1845" w:rsidRPr="00F070A4" w:rsidRDefault="00FF1845" w:rsidP="00C54173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F070A4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F070A4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F070A4">
            <w:rPr>
              <w:rFonts w:ascii="Tahoma" w:hAnsi="Tahoma" w:cs="Tahoma"/>
              <w:bCs/>
              <w:sz w:val="16"/>
              <w:szCs w:val="16"/>
            </w:rPr>
            <w:t>Ι_</w:t>
          </w:r>
          <w:r w:rsidR="008044EF" w:rsidRPr="00F070A4">
            <w:rPr>
              <w:rFonts w:ascii="Tahoma" w:hAnsi="Tahoma" w:cs="Tahoma"/>
              <w:bCs/>
              <w:sz w:val="16"/>
              <w:szCs w:val="16"/>
            </w:rPr>
            <w:t>11</w:t>
          </w:r>
        </w:p>
        <w:p w:rsidR="00FF1845" w:rsidRPr="00F070A4" w:rsidRDefault="00FF1845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F070A4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F070A4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F070A4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FF1845" w:rsidRPr="00ED27AB" w:rsidRDefault="00FF1845" w:rsidP="00294448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F070A4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F070A4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294448" w:rsidRPr="002A418B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="007724A2" w:rsidRPr="00ED27AB">
            <w:rPr>
              <w:rFonts w:ascii="Tahoma" w:hAnsi="Tahoma" w:cs="Tahoma"/>
              <w:bCs/>
              <w:sz w:val="16"/>
              <w:szCs w:val="16"/>
            </w:rPr>
            <w:t>.</w:t>
          </w:r>
          <w:r w:rsidR="00294448" w:rsidRPr="002A418B">
            <w:rPr>
              <w:rFonts w:ascii="Tahoma" w:hAnsi="Tahoma" w:cs="Tahoma"/>
              <w:bCs/>
              <w:sz w:val="16"/>
              <w:szCs w:val="16"/>
            </w:rPr>
            <w:t>10</w:t>
          </w:r>
          <w:r w:rsidR="007724A2" w:rsidRPr="00ED27AB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F070A4" w:rsidRDefault="00FF1845" w:rsidP="00DC5811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F070A4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B85E62" w:rsidRPr="00F070A4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F070A4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B85E62" w:rsidRPr="00F070A4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937C7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="00B85E62" w:rsidRPr="00F070A4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F070A4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F1845" w:rsidRPr="00F070A4" w:rsidRDefault="00B722FA" w:rsidP="000A54DE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7CE75A46" wp14:editId="527F2C5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131DE4" w:rsidRDefault="003541A9" w:rsidP="00654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67" w:rsidRDefault="00E47E67" w:rsidP="00882E5E">
      <w:r>
        <w:separator/>
      </w:r>
    </w:p>
  </w:footnote>
  <w:footnote w:type="continuationSeparator" w:id="0">
    <w:p w:rsidR="00E47E67" w:rsidRDefault="00E47E67" w:rsidP="0088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610AD"/>
    <w:multiLevelType w:val="hybridMultilevel"/>
    <w:tmpl w:val="934898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60796"/>
    <w:multiLevelType w:val="hybridMultilevel"/>
    <w:tmpl w:val="5874F1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A6316"/>
    <w:multiLevelType w:val="hybridMultilevel"/>
    <w:tmpl w:val="3D5410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E109E"/>
    <w:multiLevelType w:val="hybridMultilevel"/>
    <w:tmpl w:val="284651D4"/>
    <w:lvl w:ilvl="0" w:tplc="C540C5B8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4663620F"/>
    <w:multiLevelType w:val="singleLevel"/>
    <w:tmpl w:val="501C9270"/>
    <w:lvl w:ilvl="0">
      <w:numFmt w:val="decimal"/>
      <w:lvlText w:val="•"/>
      <w:lvlJc w:val="left"/>
    </w:lvl>
  </w:abstractNum>
  <w:abstractNum w:abstractNumId="10">
    <w:nsid w:val="5C031B8F"/>
    <w:multiLevelType w:val="hybridMultilevel"/>
    <w:tmpl w:val="AC0A87F8"/>
    <w:lvl w:ilvl="0" w:tplc="47BC7142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57443DE8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7F2EAE42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B0FE7DE0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C7260FC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ECCCBBC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77649D84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5D68DB64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44DB7A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5C2B2167"/>
    <w:multiLevelType w:val="hybridMultilevel"/>
    <w:tmpl w:val="2F4CE7F2"/>
    <w:lvl w:ilvl="0" w:tplc="56EC2DBE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2">
    <w:nsid w:val="5F0F0B3F"/>
    <w:multiLevelType w:val="hybridMultilevel"/>
    <w:tmpl w:val="39B665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613D3"/>
    <w:multiLevelType w:val="hybridMultilevel"/>
    <w:tmpl w:val="7E761084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 w:tentative="1">
      <w:start w:val="1"/>
      <w:numFmt w:val="lowerLetter"/>
      <w:lvlText w:val="%2."/>
      <w:lvlJc w:val="left"/>
      <w:pPr>
        <w:ind w:left="1440" w:hanging="360"/>
      </w:pPr>
    </w:lvl>
    <w:lvl w:ilvl="2" w:tplc="D98443D0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EA38C9"/>
    <w:multiLevelType w:val="multilevel"/>
    <w:tmpl w:val="CCFA4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96B4FB0"/>
    <w:multiLevelType w:val="hybridMultilevel"/>
    <w:tmpl w:val="97901ADE"/>
    <w:lvl w:ilvl="0" w:tplc="A3685584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2E246C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666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B8E9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CE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C0B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AE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CA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8E4CEF"/>
    <w:multiLevelType w:val="hybridMultilevel"/>
    <w:tmpl w:val="60E23AE4"/>
    <w:lvl w:ilvl="0" w:tplc="0408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1"/>
  </w:num>
  <w:num w:numId="5">
    <w:abstractNumId w:val="1"/>
  </w:num>
  <w:num w:numId="6">
    <w:abstractNumId w:val="5"/>
  </w:num>
  <w:num w:numId="7">
    <w:abstractNumId w:val="16"/>
  </w:num>
  <w:num w:numId="8">
    <w:abstractNumId w:val="10"/>
  </w:num>
  <w:num w:numId="9">
    <w:abstractNumId w:val="0"/>
  </w:num>
  <w:num w:numId="10">
    <w:abstractNumId w:val="6"/>
  </w:num>
  <w:num w:numId="11">
    <w:abstractNumId w:val="13"/>
  </w:num>
  <w:num w:numId="12">
    <w:abstractNumId w:val="9"/>
  </w:num>
  <w:num w:numId="13">
    <w:abstractNumId w:val="15"/>
  </w:num>
  <w:num w:numId="14">
    <w:abstractNumId w:val="2"/>
  </w:num>
  <w:num w:numId="15">
    <w:abstractNumId w:val="17"/>
  </w:num>
  <w:num w:numId="16">
    <w:abstractNumId w:val="3"/>
  </w:num>
  <w:num w:numId="17">
    <w:abstractNumId w:val="12"/>
  </w:num>
  <w:num w:numId="1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5E"/>
    <w:rsid w:val="000005F7"/>
    <w:rsid w:val="00000660"/>
    <w:rsid w:val="00000833"/>
    <w:rsid w:val="000026B3"/>
    <w:rsid w:val="00004740"/>
    <w:rsid w:val="00004785"/>
    <w:rsid w:val="000052BA"/>
    <w:rsid w:val="00006FCA"/>
    <w:rsid w:val="0001011A"/>
    <w:rsid w:val="000102F6"/>
    <w:rsid w:val="000107C9"/>
    <w:rsid w:val="00010C17"/>
    <w:rsid w:val="00011063"/>
    <w:rsid w:val="00011542"/>
    <w:rsid w:val="00012901"/>
    <w:rsid w:val="0001295A"/>
    <w:rsid w:val="000133FE"/>
    <w:rsid w:val="00014293"/>
    <w:rsid w:val="00014D2E"/>
    <w:rsid w:val="00016FC5"/>
    <w:rsid w:val="00017087"/>
    <w:rsid w:val="000171F1"/>
    <w:rsid w:val="000176FC"/>
    <w:rsid w:val="0002005F"/>
    <w:rsid w:val="00020205"/>
    <w:rsid w:val="00021B49"/>
    <w:rsid w:val="00025166"/>
    <w:rsid w:val="000269FA"/>
    <w:rsid w:val="00027B72"/>
    <w:rsid w:val="0003000F"/>
    <w:rsid w:val="0003063B"/>
    <w:rsid w:val="0003066A"/>
    <w:rsid w:val="000309B2"/>
    <w:rsid w:val="00033074"/>
    <w:rsid w:val="0003499F"/>
    <w:rsid w:val="000358DC"/>
    <w:rsid w:val="0003752F"/>
    <w:rsid w:val="00040D66"/>
    <w:rsid w:val="0004197D"/>
    <w:rsid w:val="00044222"/>
    <w:rsid w:val="00044E2B"/>
    <w:rsid w:val="000455C3"/>
    <w:rsid w:val="00046A7C"/>
    <w:rsid w:val="00047676"/>
    <w:rsid w:val="00047E75"/>
    <w:rsid w:val="00050021"/>
    <w:rsid w:val="00051841"/>
    <w:rsid w:val="00052444"/>
    <w:rsid w:val="000527E7"/>
    <w:rsid w:val="00052F29"/>
    <w:rsid w:val="000535C3"/>
    <w:rsid w:val="00053D6A"/>
    <w:rsid w:val="00054DA3"/>
    <w:rsid w:val="0005527F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5F8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76B72"/>
    <w:rsid w:val="00081656"/>
    <w:rsid w:val="000816E9"/>
    <w:rsid w:val="00081D78"/>
    <w:rsid w:val="0008207E"/>
    <w:rsid w:val="00085597"/>
    <w:rsid w:val="00085790"/>
    <w:rsid w:val="00085E37"/>
    <w:rsid w:val="0008700B"/>
    <w:rsid w:val="0008725B"/>
    <w:rsid w:val="00090752"/>
    <w:rsid w:val="000910D7"/>
    <w:rsid w:val="00091FA5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3F48"/>
    <w:rsid w:val="000A42B2"/>
    <w:rsid w:val="000A54DE"/>
    <w:rsid w:val="000A5576"/>
    <w:rsid w:val="000A609A"/>
    <w:rsid w:val="000A6EF5"/>
    <w:rsid w:val="000A7AEB"/>
    <w:rsid w:val="000B0280"/>
    <w:rsid w:val="000B0814"/>
    <w:rsid w:val="000B1C1E"/>
    <w:rsid w:val="000B2E32"/>
    <w:rsid w:val="000B3218"/>
    <w:rsid w:val="000B39F3"/>
    <w:rsid w:val="000B415C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216A"/>
    <w:rsid w:val="000C35DA"/>
    <w:rsid w:val="000C38A7"/>
    <w:rsid w:val="000C38AA"/>
    <w:rsid w:val="000C63FE"/>
    <w:rsid w:val="000C6424"/>
    <w:rsid w:val="000C65EA"/>
    <w:rsid w:val="000C691A"/>
    <w:rsid w:val="000D3F78"/>
    <w:rsid w:val="000D41B8"/>
    <w:rsid w:val="000D5FB6"/>
    <w:rsid w:val="000D6647"/>
    <w:rsid w:val="000D6FD7"/>
    <w:rsid w:val="000D7F35"/>
    <w:rsid w:val="000E0F6C"/>
    <w:rsid w:val="000E12D6"/>
    <w:rsid w:val="000E18B3"/>
    <w:rsid w:val="000E2883"/>
    <w:rsid w:val="000E3164"/>
    <w:rsid w:val="000E4607"/>
    <w:rsid w:val="000E4CC8"/>
    <w:rsid w:val="000E7582"/>
    <w:rsid w:val="000E7CF7"/>
    <w:rsid w:val="000F10FC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237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241"/>
    <w:rsid w:val="001128F6"/>
    <w:rsid w:val="00112E4B"/>
    <w:rsid w:val="00112FD3"/>
    <w:rsid w:val="00113F02"/>
    <w:rsid w:val="001141C6"/>
    <w:rsid w:val="001155E5"/>
    <w:rsid w:val="00115A3C"/>
    <w:rsid w:val="001169A9"/>
    <w:rsid w:val="001202FB"/>
    <w:rsid w:val="0012117D"/>
    <w:rsid w:val="0012121D"/>
    <w:rsid w:val="0012141B"/>
    <w:rsid w:val="001214A4"/>
    <w:rsid w:val="00122851"/>
    <w:rsid w:val="001238ED"/>
    <w:rsid w:val="00125500"/>
    <w:rsid w:val="0012564F"/>
    <w:rsid w:val="00125C52"/>
    <w:rsid w:val="00130FCF"/>
    <w:rsid w:val="0013164C"/>
    <w:rsid w:val="00131DE4"/>
    <w:rsid w:val="001320C9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50822"/>
    <w:rsid w:val="00151800"/>
    <w:rsid w:val="00152706"/>
    <w:rsid w:val="00152B33"/>
    <w:rsid w:val="00154587"/>
    <w:rsid w:val="00155D05"/>
    <w:rsid w:val="0015677A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8E2"/>
    <w:rsid w:val="00172FF4"/>
    <w:rsid w:val="00174757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531E"/>
    <w:rsid w:val="001855CD"/>
    <w:rsid w:val="00185BBF"/>
    <w:rsid w:val="00186A0E"/>
    <w:rsid w:val="001873AB"/>
    <w:rsid w:val="001878A1"/>
    <w:rsid w:val="0019006E"/>
    <w:rsid w:val="00191B05"/>
    <w:rsid w:val="00193586"/>
    <w:rsid w:val="00194A48"/>
    <w:rsid w:val="001A0728"/>
    <w:rsid w:val="001A09FF"/>
    <w:rsid w:val="001A3FB7"/>
    <w:rsid w:val="001A450D"/>
    <w:rsid w:val="001A5D05"/>
    <w:rsid w:val="001A6B86"/>
    <w:rsid w:val="001A6E94"/>
    <w:rsid w:val="001A778D"/>
    <w:rsid w:val="001B1E03"/>
    <w:rsid w:val="001B2B29"/>
    <w:rsid w:val="001B3E1D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2C2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E748E"/>
    <w:rsid w:val="001F2BAF"/>
    <w:rsid w:val="001F64D4"/>
    <w:rsid w:val="001F6B55"/>
    <w:rsid w:val="001F7A09"/>
    <w:rsid w:val="00200CCE"/>
    <w:rsid w:val="00203988"/>
    <w:rsid w:val="00205C28"/>
    <w:rsid w:val="00206B2B"/>
    <w:rsid w:val="00211100"/>
    <w:rsid w:val="00211DE8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30F"/>
    <w:rsid w:val="00224BB9"/>
    <w:rsid w:val="00225383"/>
    <w:rsid w:val="00225D77"/>
    <w:rsid w:val="002273B8"/>
    <w:rsid w:val="00230DA0"/>
    <w:rsid w:val="00230DED"/>
    <w:rsid w:val="00231270"/>
    <w:rsid w:val="002317B4"/>
    <w:rsid w:val="0023289F"/>
    <w:rsid w:val="0023494F"/>
    <w:rsid w:val="00236F6E"/>
    <w:rsid w:val="00241ABD"/>
    <w:rsid w:val="002420C0"/>
    <w:rsid w:val="00243AB0"/>
    <w:rsid w:val="00243F3D"/>
    <w:rsid w:val="002441D1"/>
    <w:rsid w:val="0024568F"/>
    <w:rsid w:val="00245CB7"/>
    <w:rsid w:val="00246332"/>
    <w:rsid w:val="00246CAD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2CF1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77E7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14F"/>
    <w:rsid w:val="002876F0"/>
    <w:rsid w:val="00290774"/>
    <w:rsid w:val="0029319C"/>
    <w:rsid w:val="00293308"/>
    <w:rsid w:val="00293344"/>
    <w:rsid w:val="00293423"/>
    <w:rsid w:val="002936ED"/>
    <w:rsid w:val="00294448"/>
    <w:rsid w:val="00294B87"/>
    <w:rsid w:val="00295AF5"/>
    <w:rsid w:val="0029689D"/>
    <w:rsid w:val="00297BA5"/>
    <w:rsid w:val="002A04A8"/>
    <w:rsid w:val="002A0DF8"/>
    <w:rsid w:val="002A0FCC"/>
    <w:rsid w:val="002A1279"/>
    <w:rsid w:val="002A1EA8"/>
    <w:rsid w:val="002A23FD"/>
    <w:rsid w:val="002A3FDB"/>
    <w:rsid w:val="002A418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383C"/>
    <w:rsid w:val="002B4563"/>
    <w:rsid w:val="002B6090"/>
    <w:rsid w:val="002B64E8"/>
    <w:rsid w:val="002B7731"/>
    <w:rsid w:val="002C373F"/>
    <w:rsid w:val="002C3B4A"/>
    <w:rsid w:val="002C5A71"/>
    <w:rsid w:val="002C5F3D"/>
    <w:rsid w:val="002C7A12"/>
    <w:rsid w:val="002D0144"/>
    <w:rsid w:val="002D0177"/>
    <w:rsid w:val="002D05FB"/>
    <w:rsid w:val="002D22CB"/>
    <w:rsid w:val="002D2449"/>
    <w:rsid w:val="002D4C31"/>
    <w:rsid w:val="002D50FD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7016"/>
    <w:rsid w:val="002F7AB9"/>
    <w:rsid w:val="002F7C65"/>
    <w:rsid w:val="0030340D"/>
    <w:rsid w:val="003034C4"/>
    <w:rsid w:val="00304320"/>
    <w:rsid w:val="00304B4B"/>
    <w:rsid w:val="00305A44"/>
    <w:rsid w:val="0030643F"/>
    <w:rsid w:val="00307866"/>
    <w:rsid w:val="00310BCC"/>
    <w:rsid w:val="00313D0F"/>
    <w:rsid w:val="0031560A"/>
    <w:rsid w:val="003157D8"/>
    <w:rsid w:val="0031742A"/>
    <w:rsid w:val="00317C66"/>
    <w:rsid w:val="00320BF6"/>
    <w:rsid w:val="003221BA"/>
    <w:rsid w:val="003225A7"/>
    <w:rsid w:val="00322890"/>
    <w:rsid w:val="00322D06"/>
    <w:rsid w:val="00323A39"/>
    <w:rsid w:val="00323B84"/>
    <w:rsid w:val="003246D8"/>
    <w:rsid w:val="00324E82"/>
    <w:rsid w:val="00325C1A"/>
    <w:rsid w:val="003276E9"/>
    <w:rsid w:val="00332475"/>
    <w:rsid w:val="0033470A"/>
    <w:rsid w:val="00334C8C"/>
    <w:rsid w:val="003355E2"/>
    <w:rsid w:val="00336458"/>
    <w:rsid w:val="00340577"/>
    <w:rsid w:val="00340B46"/>
    <w:rsid w:val="00340BF0"/>
    <w:rsid w:val="003410B2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5A12"/>
    <w:rsid w:val="00347C04"/>
    <w:rsid w:val="00347F3D"/>
    <w:rsid w:val="0035091A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9D4"/>
    <w:rsid w:val="00363310"/>
    <w:rsid w:val="00364882"/>
    <w:rsid w:val="00364E6C"/>
    <w:rsid w:val="00365B30"/>
    <w:rsid w:val="00366215"/>
    <w:rsid w:val="003665A3"/>
    <w:rsid w:val="00366F67"/>
    <w:rsid w:val="00367CDB"/>
    <w:rsid w:val="00367ECE"/>
    <w:rsid w:val="003705C6"/>
    <w:rsid w:val="00372D1C"/>
    <w:rsid w:val="003736C3"/>
    <w:rsid w:val="00374811"/>
    <w:rsid w:val="003752B5"/>
    <w:rsid w:val="00375FD0"/>
    <w:rsid w:val="00380644"/>
    <w:rsid w:val="00380DF9"/>
    <w:rsid w:val="003824B8"/>
    <w:rsid w:val="00385451"/>
    <w:rsid w:val="003854ED"/>
    <w:rsid w:val="00386224"/>
    <w:rsid w:val="00386D99"/>
    <w:rsid w:val="00387BE0"/>
    <w:rsid w:val="0039016A"/>
    <w:rsid w:val="00390B36"/>
    <w:rsid w:val="00392395"/>
    <w:rsid w:val="00392481"/>
    <w:rsid w:val="00393E92"/>
    <w:rsid w:val="00395639"/>
    <w:rsid w:val="00395E15"/>
    <w:rsid w:val="0039630B"/>
    <w:rsid w:val="00396BB8"/>
    <w:rsid w:val="00397301"/>
    <w:rsid w:val="00397DBF"/>
    <w:rsid w:val="00397E3D"/>
    <w:rsid w:val="003A018D"/>
    <w:rsid w:val="003A177C"/>
    <w:rsid w:val="003A3425"/>
    <w:rsid w:val="003A38BF"/>
    <w:rsid w:val="003A654D"/>
    <w:rsid w:val="003A7301"/>
    <w:rsid w:val="003B0BED"/>
    <w:rsid w:val="003B1260"/>
    <w:rsid w:val="003B4370"/>
    <w:rsid w:val="003B4CF5"/>
    <w:rsid w:val="003B4D3D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D08"/>
    <w:rsid w:val="003C6F3B"/>
    <w:rsid w:val="003C788E"/>
    <w:rsid w:val="003D06B4"/>
    <w:rsid w:val="003D17FC"/>
    <w:rsid w:val="003D38D7"/>
    <w:rsid w:val="003D3988"/>
    <w:rsid w:val="003D4D88"/>
    <w:rsid w:val="003D5128"/>
    <w:rsid w:val="003D5155"/>
    <w:rsid w:val="003D54BA"/>
    <w:rsid w:val="003D6ECE"/>
    <w:rsid w:val="003D7B72"/>
    <w:rsid w:val="003D7D4D"/>
    <w:rsid w:val="003E0287"/>
    <w:rsid w:val="003E1232"/>
    <w:rsid w:val="003E1241"/>
    <w:rsid w:val="003E20BE"/>
    <w:rsid w:val="003E3371"/>
    <w:rsid w:val="003E380E"/>
    <w:rsid w:val="003E38CF"/>
    <w:rsid w:val="003E5E7D"/>
    <w:rsid w:val="003E6BC3"/>
    <w:rsid w:val="003E79A0"/>
    <w:rsid w:val="003E7DFA"/>
    <w:rsid w:val="003E7EAB"/>
    <w:rsid w:val="003F0F2A"/>
    <w:rsid w:val="003F1A80"/>
    <w:rsid w:val="003F2B9B"/>
    <w:rsid w:val="003F4AB1"/>
    <w:rsid w:val="003F57F1"/>
    <w:rsid w:val="003F58A8"/>
    <w:rsid w:val="003F5CD6"/>
    <w:rsid w:val="003F6C41"/>
    <w:rsid w:val="0040012A"/>
    <w:rsid w:val="0040021B"/>
    <w:rsid w:val="00401A62"/>
    <w:rsid w:val="00401D97"/>
    <w:rsid w:val="004026EC"/>
    <w:rsid w:val="004026F7"/>
    <w:rsid w:val="0040285D"/>
    <w:rsid w:val="004028D4"/>
    <w:rsid w:val="004030FB"/>
    <w:rsid w:val="00403CF1"/>
    <w:rsid w:val="004045D3"/>
    <w:rsid w:val="00407C3B"/>
    <w:rsid w:val="00407F22"/>
    <w:rsid w:val="00411754"/>
    <w:rsid w:val="00412348"/>
    <w:rsid w:val="00412772"/>
    <w:rsid w:val="0041283D"/>
    <w:rsid w:val="00415081"/>
    <w:rsid w:val="004150AD"/>
    <w:rsid w:val="004151D4"/>
    <w:rsid w:val="00417015"/>
    <w:rsid w:val="00420EB1"/>
    <w:rsid w:val="00422851"/>
    <w:rsid w:val="00424D68"/>
    <w:rsid w:val="004254EB"/>
    <w:rsid w:val="00425959"/>
    <w:rsid w:val="00426092"/>
    <w:rsid w:val="0042696C"/>
    <w:rsid w:val="004279F2"/>
    <w:rsid w:val="00427DE9"/>
    <w:rsid w:val="00430238"/>
    <w:rsid w:val="00430452"/>
    <w:rsid w:val="00431270"/>
    <w:rsid w:val="00431ECA"/>
    <w:rsid w:val="00432916"/>
    <w:rsid w:val="00433A1A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52CE"/>
    <w:rsid w:val="00456259"/>
    <w:rsid w:val="0045721C"/>
    <w:rsid w:val="0045775A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127A"/>
    <w:rsid w:val="004722C3"/>
    <w:rsid w:val="004722C9"/>
    <w:rsid w:val="00472E49"/>
    <w:rsid w:val="00473AEC"/>
    <w:rsid w:val="004749D4"/>
    <w:rsid w:val="00474D1A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86DBD"/>
    <w:rsid w:val="00490E07"/>
    <w:rsid w:val="00494023"/>
    <w:rsid w:val="004944A2"/>
    <w:rsid w:val="0049538F"/>
    <w:rsid w:val="00495C68"/>
    <w:rsid w:val="0049685D"/>
    <w:rsid w:val="004A2759"/>
    <w:rsid w:val="004A44BF"/>
    <w:rsid w:val="004A5FFD"/>
    <w:rsid w:val="004B0202"/>
    <w:rsid w:val="004B04EA"/>
    <w:rsid w:val="004B0B3B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593F"/>
    <w:rsid w:val="004B7FE0"/>
    <w:rsid w:val="004C0E63"/>
    <w:rsid w:val="004C181B"/>
    <w:rsid w:val="004C298B"/>
    <w:rsid w:val="004C4D7F"/>
    <w:rsid w:val="004C549A"/>
    <w:rsid w:val="004D33EB"/>
    <w:rsid w:val="004D4575"/>
    <w:rsid w:val="004D46C0"/>
    <w:rsid w:val="004D4D81"/>
    <w:rsid w:val="004D5842"/>
    <w:rsid w:val="004D5878"/>
    <w:rsid w:val="004D695B"/>
    <w:rsid w:val="004D74FE"/>
    <w:rsid w:val="004D765B"/>
    <w:rsid w:val="004E0DE6"/>
    <w:rsid w:val="004E0F35"/>
    <w:rsid w:val="004E154D"/>
    <w:rsid w:val="004E22C8"/>
    <w:rsid w:val="004E2833"/>
    <w:rsid w:val="004E39D2"/>
    <w:rsid w:val="004E4258"/>
    <w:rsid w:val="004E4897"/>
    <w:rsid w:val="004E5131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DDB"/>
    <w:rsid w:val="00511F1D"/>
    <w:rsid w:val="00512A12"/>
    <w:rsid w:val="00512AD0"/>
    <w:rsid w:val="00513442"/>
    <w:rsid w:val="00513BC4"/>
    <w:rsid w:val="00515233"/>
    <w:rsid w:val="005154DD"/>
    <w:rsid w:val="00517264"/>
    <w:rsid w:val="00517AE8"/>
    <w:rsid w:val="00517DEB"/>
    <w:rsid w:val="00517ED3"/>
    <w:rsid w:val="00520384"/>
    <w:rsid w:val="00520EE5"/>
    <w:rsid w:val="005214A5"/>
    <w:rsid w:val="00525630"/>
    <w:rsid w:val="00525827"/>
    <w:rsid w:val="00525CFC"/>
    <w:rsid w:val="005279E7"/>
    <w:rsid w:val="005303DB"/>
    <w:rsid w:val="00530765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0B5"/>
    <w:rsid w:val="0054133D"/>
    <w:rsid w:val="0054218A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173F"/>
    <w:rsid w:val="00552A07"/>
    <w:rsid w:val="005550BD"/>
    <w:rsid w:val="00556D8F"/>
    <w:rsid w:val="00557B1E"/>
    <w:rsid w:val="005605F3"/>
    <w:rsid w:val="0056072E"/>
    <w:rsid w:val="00561870"/>
    <w:rsid w:val="005630AE"/>
    <w:rsid w:val="00563752"/>
    <w:rsid w:val="00564C9F"/>
    <w:rsid w:val="005662D4"/>
    <w:rsid w:val="0056700A"/>
    <w:rsid w:val="00567BEA"/>
    <w:rsid w:val="00570270"/>
    <w:rsid w:val="0057089D"/>
    <w:rsid w:val="00570952"/>
    <w:rsid w:val="005711CB"/>
    <w:rsid w:val="005717ED"/>
    <w:rsid w:val="005719E3"/>
    <w:rsid w:val="0057242F"/>
    <w:rsid w:val="005726A8"/>
    <w:rsid w:val="00572AA2"/>
    <w:rsid w:val="00573AF5"/>
    <w:rsid w:val="00573D17"/>
    <w:rsid w:val="0057519B"/>
    <w:rsid w:val="005760E5"/>
    <w:rsid w:val="00577303"/>
    <w:rsid w:val="00577435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2420"/>
    <w:rsid w:val="005938D9"/>
    <w:rsid w:val="00593BB6"/>
    <w:rsid w:val="00595320"/>
    <w:rsid w:val="005953FD"/>
    <w:rsid w:val="00595460"/>
    <w:rsid w:val="00595FEA"/>
    <w:rsid w:val="00596F3A"/>
    <w:rsid w:val="005973D7"/>
    <w:rsid w:val="0059742C"/>
    <w:rsid w:val="00597DFC"/>
    <w:rsid w:val="005A10FC"/>
    <w:rsid w:val="005A1178"/>
    <w:rsid w:val="005A146A"/>
    <w:rsid w:val="005A1C16"/>
    <w:rsid w:val="005A1FFB"/>
    <w:rsid w:val="005A37C0"/>
    <w:rsid w:val="005A3AC5"/>
    <w:rsid w:val="005A487B"/>
    <w:rsid w:val="005A4884"/>
    <w:rsid w:val="005A5206"/>
    <w:rsid w:val="005A5768"/>
    <w:rsid w:val="005A7293"/>
    <w:rsid w:val="005B017B"/>
    <w:rsid w:val="005B0B0E"/>
    <w:rsid w:val="005B3885"/>
    <w:rsid w:val="005B41A4"/>
    <w:rsid w:val="005B7662"/>
    <w:rsid w:val="005C03E7"/>
    <w:rsid w:val="005C05D3"/>
    <w:rsid w:val="005C06EC"/>
    <w:rsid w:val="005C2506"/>
    <w:rsid w:val="005C3569"/>
    <w:rsid w:val="005C549C"/>
    <w:rsid w:val="005C5906"/>
    <w:rsid w:val="005C612F"/>
    <w:rsid w:val="005C6394"/>
    <w:rsid w:val="005C675D"/>
    <w:rsid w:val="005C7623"/>
    <w:rsid w:val="005D0486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E7689"/>
    <w:rsid w:val="005F09C1"/>
    <w:rsid w:val="005F113E"/>
    <w:rsid w:val="005F198F"/>
    <w:rsid w:val="005F20E0"/>
    <w:rsid w:val="005F319E"/>
    <w:rsid w:val="005F4BB4"/>
    <w:rsid w:val="005F4C5B"/>
    <w:rsid w:val="005F514A"/>
    <w:rsid w:val="005F5553"/>
    <w:rsid w:val="005F5D86"/>
    <w:rsid w:val="005F61A8"/>
    <w:rsid w:val="005F6619"/>
    <w:rsid w:val="005F6654"/>
    <w:rsid w:val="005F6AB7"/>
    <w:rsid w:val="005F76F0"/>
    <w:rsid w:val="005F7D55"/>
    <w:rsid w:val="0060226B"/>
    <w:rsid w:val="00602384"/>
    <w:rsid w:val="00602629"/>
    <w:rsid w:val="0060286B"/>
    <w:rsid w:val="0060395D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4A"/>
    <w:rsid w:val="006255FA"/>
    <w:rsid w:val="00625BE4"/>
    <w:rsid w:val="0062618D"/>
    <w:rsid w:val="00626CCF"/>
    <w:rsid w:val="00627A9C"/>
    <w:rsid w:val="00627CDA"/>
    <w:rsid w:val="00630A00"/>
    <w:rsid w:val="00631D93"/>
    <w:rsid w:val="00633016"/>
    <w:rsid w:val="006336D8"/>
    <w:rsid w:val="00633CB5"/>
    <w:rsid w:val="00633D09"/>
    <w:rsid w:val="00635215"/>
    <w:rsid w:val="00635769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24D"/>
    <w:rsid w:val="006446B2"/>
    <w:rsid w:val="00645A60"/>
    <w:rsid w:val="006478FA"/>
    <w:rsid w:val="00647F6D"/>
    <w:rsid w:val="006502FF"/>
    <w:rsid w:val="00651F23"/>
    <w:rsid w:val="00653113"/>
    <w:rsid w:val="00654A18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32E"/>
    <w:rsid w:val="006675D7"/>
    <w:rsid w:val="006676B2"/>
    <w:rsid w:val="0067033C"/>
    <w:rsid w:val="00673074"/>
    <w:rsid w:val="0067330B"/>
    <w:rsid w:val="00675F60"/>
    <w:rsid w:val="00676ACD"/>
    <w:rsid w:val="006778A3"/>
    <w:rsid w:val="00677AC8"/>
    <w:rsid w:val="0068060A"/>
    <w:rsid w:val="00680B31"/>
    <w:rsid w:val="00681352"/>
    <w:rsid w:val="006814F3"/>
    <w:rsid w:val="006818D9"/>
    <w:rsid w:val="00681DCD"/>
    <w:rsid w:val="0068386E"/>
    <w:rsid w:val="006839C6"/>
    <w:rsid w:val="00684945"/>
    <w:rsid w:val="00685C66"/>
    <w:rsid w:val="00686A3D"/>
    <w:rsid w:val="00687333"/>
    <w:rsid w:val="00687FC9"/>
    <w:rsid w:val="0069060C"/>
    <w:rsid w:val="00690668"/>
    <w:rsid w:val="0069111D"/>
    <w:rsid w:val="0069210D"/>
    <w:rsid w:val="0069297D"/>
    <w:rsid w:val="00692C18"/>
    <w:rsid w:val="00693CBE"/>
    <w:rsid w:val="00693D60"/>
    <w:rsid w:val="00695168"/>
    <w:rsid w:val="00695FFE"/>
    <w:rsid w:val="006962FF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75A"/>
    <w:rsid w:val="006A7D0A"/>
    <w:rsid w:val="006B0BFA"/>
    <w:rsid w:val="006B0E3E"/>
    <w:rsid w:val="006B14B5"/>
    <w:rsid w:val="006B16F7"/>
    <w:rsid w:val="006B179B"/>
    <w:rsid w:val="006B407A"/>
    <w:rsid w:val="006B6657"/>
    <w:rsid w:val="006B6E10"/>
    <w:rsid w:val="006C0245"/>
    <w:rsid w:val="006C0531"/>
    <w:rsid w:val="006C2ADC"/>
    <w:rsid w:val="006C4551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64CA"/>
    <w:rsid w:val="006D7738"/>
    <w:rsid w:val="006D7B31"/>
    <w:rsid w:val="006D7B99"/>
    <w:rsid w:val="006D7FCA"/>
    <w:rsid w:val="006E04E1"/>
    <w:rsid w:val="006E1B5E"/>
    <w:rsid w:val="006E4E78"/>
    <w:rsid w:val="006E5008"/>
    <w:rsid w:val="006E5A7B"/>
    <w:rsid w:val="006E7829"/>
    <w:rsid w:val="006F0980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4176"/>
    <w:rsid w:val="00704595"/>
    <w:rsid w:val="00704673"/>
    <w:rsid w:val="00704E6C"/>
    <w:rsid w:val="007054F5"/>
    <w:rsid w:val="00706B9E"/>
    <w:rsid w:val="007073E6"/>
    <w:rsid w:val="00707BA1"/>
    <w:rsid w:val="00710273"/>
    <w:rsid w:val="0071183E"/>
    <w:rsid w:val="007124EF"/>
    <w:rsid w:val="00712A03"/>
    <w:rsid w:val="00712D29"/>
    <w:rsid w:val="00713E0F"/>
    <w:rsid w:val="00715724"/>
    <w:rsid w:val="0071588A"/>
    <w:rsid w:val="007168F9"/>
    <w:rsid w:val="00716BF9"/>
    <w:rsid w:val="007174F5"/>
    <w:rsid w:val="00717759"/>
    <w:rsid w:val="00722418"/>
    <w:rsid w:val="00724C8E"/>
    <w:rsid w:val="00725210"/>
    <w:rsid w:val="00726D70"/>
    <w:rsid w:val="00726FF1"/>
    <w:rsid w:val="00731436"/>
    <w:rsid w:val="007329FC"/>
    <w:rsid w:val="00733235"/>
    <w:rsid w:val="00733A1B"/>
    <w:rsid w:val="007342B7"/>
    <w:rsid w:val="00734F8C"/>
    <w:rsid w:val="007367C5"/>
    <w:rsid w:val="00736D5D"/>
    <w:rsid w:val="00737DB7"/>
    <w:rsid w:val="007408AA"/>
    <w:rsid w:val="00740EF8"/>
    <w:rsid w:val="00741841"/>
    <w:rsid w:val="00742982"/>
    <w:rsid w:val="00742B83"/>
    <w:rsid w:val="0074381D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2CDE"/>
    <w:rsid w:val="00753F1F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24A2"/>
    <w:rsid w:val="007736D4"/>
    <w:rsid w:val="00773E56"/>
    <w:rsid w:val="007742D3"/>
    <w:rsid w:val="00774CEB"/>
    <w:rsid w:val="00774D2E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8705B"/>
    <w:rsid w:val="00790944"/>
    <w:rsid w:val="00791306"/>
    <w:rsid w:val="007914DF"/>
    <w:rsid w:val="00795316"/>
    <w:rsid w:val="0079559C"/>
    <w:rsid w:val="00797112"/>
    <w:rsid w:val="00797C0A"/>
    <w:rsid w:val="007A01FC"/>
    <w:rsid w:val="007A0452"/>
    <w:rsid w:val="007A0AC8"/>
    <w:rsid w:val="007A127C"/>
    <w:rsid w:val="007A15AC"/>
    <w:rsid w:val="007A16BA"/>
    <w:rsid w:val="007A2B06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41FF"/>
    <w:rsid w:val="007C4327"/>
    <w:rsid w:val="007C4BE8"/>
    <w:rsid w:val="007C506B"/>
    <w:rsid w:val="007C5F37"/>
    <w:rsid w:val="007C6075"/>
    <w:rsid w:val="007C7A62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800026"/>
    <w:rsid w:val="00800FD2"/>
    <w:rsid w:val="00801682"/>
    <w:rsid w:val="00802787"/>
    <w:rsid w:val="00802AB6"/>
    <w:rsid w:val="00803FD4"/>
    <w:rsid w:val="008044EF"/>
    <w:rsid w:val="00804BD1"/>
    <w:rsid w:val="00806EDB"/>
    <w:rsid w:val="008072CE"/>
    <w:rsid w:val="00810478"/>
    <w:rsid w:val="00810996"/>
    <w:rsid w:val="00811100"/>
    <w:rsid w:val="008116CA"/>
    <w:rsid w:val="00811E7B"/>
    <w:rsid w:val="00813620"/>
    <w:rsid w:val="00813EFB"/>
    <w:rsid w:val="00814166"/>
    <w:rsid w:val="0081490F"/>
    <w:rsid w:val="00815437"/>
    <w:rsid w:val="008169A0"/>
    <w:rsid w:val="0081770C"/>
    <w:rsid w:val="00817D69"/>
    <w:rsid w:val="0082027B"/>
    <w:rsid w:val="00820522"/>
    <w:rsid w:val="00820EA4"/>
    <w:rsid w:val="00820F11"/>
    <w:rsid w:val="00823ED9"/>
    <w:rsid w:val="00824864"/>
    <w:rsid w:val="00826A2B"/>
    <w:rsid w:val="00826C7B"/>
    <w:rsid w:val="008276F1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2560"/>
    <w:rsid w:val="0084470E"/>
    <w:rsid w:val="008458D3"/>
    <w:rsid w:val="0084662B"/>
    <w:rsid w:val="00850175"/>
    <w:rsid w:val="0085117E"/>
    <w:rsid w:val="00851845"/>
    <w:rsid w:val="0085715B"/>
    <w:rsid w:val="00857347"/>
    <w:rsid w:val="00857876"/>
    <w:rsid w:val="00857E70"/>
    <w:rsid w:val="00860C68"/>
    <w:rsid w:val="008617FB"/>
    <w:rsid w:val="00862837"/>
    <w:rsid w:val="00862D84"/>
    <w:rsid w:val="00862DB2"/>
    <w:rsid w:val="00863E56"/>
    <w:rsid w:val="00863F85"/>
    <w:rsid w:val="00864D8C"/>
    <w:rsid w:val="008652EC"/>
    <w:rsid w:val="008663F6"/>
    <w:rsid w:val="00870B1D"/>
    <w:rsid w:val="008713AD"/>
    <w:rsid w:val="00872DEE"/>
    <w:rsid w:val="00874094"/>
    <w:rsid w:val="008746BC"/>
    <w:rsid w:val="0087572A"/>
    <w:rsid w:val="008760C3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A0588"/>
    <w:rsid w:val="008A2762"/>
    <w:rsid w:val="008A27D3"/>
    <w:rsid w:val="008A29C8"/>
    <w:rsid w:val="008A329F"/>
    <w:rsid w:val="008A35D7"/>
    <w:rsid w:val="008A3D11"/>
    <w:rsid w:val="008A3D45"/>
    <w:rsid w:val="008A3EA9"/>
    <w:rsid w:val="008A3ECE"/>
    <w:rsid w:val="008A5958"/>
    <w:rsid w:val="008A5E00"/>
    <w:rsid w:val="008A695D"/>
    <w:rsid w:val="008B1338"/>
    <w:rsid w:val="008B2279"/>
    <w:rsid w:val="008B4424"/>
    <w:rsid w:val="008B788C"/>
    <w:rsid w:val="008C027C"/>
    <w:rsid w:val="008C08DE"/>
    <w:rsid w:val="008C098F"/>
    <w:rsid w:val="008C0D61"/>
    <w:rsid w:val="008C0E02"/>
    <w:rsid w:val="008C21AE"/>
    <w:rsid w:val="008C3C80"/>
    <w:rsid w:val="008C552D"/>
    <w:rsid w:val="008C6384"/>
    <w:rsid w:val="008C7100"/>
    <w:rsid w:val="008D0531"/>
    <w:rsid w:val="008D08A4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64C9"/>
    <w:rsid w:val="008E7A51"/>
    <w:rsid w:val="008E7B3A"/>
    <w:rsid w:val="008E7FF6"/>
    <w:rsid w:val="008F0125"/>
    <w:rsid w:val="008F220E"/>
    <w:rsid w:val="008F335E"/>
    <w:rsid w:val="008F3E26"/>
    <w:rsid w:val="008F3FD3"/>
    <w:rsid w:val="008F4106"/>
    <w:rsid w:val="008F652A"/>
    <w:rsid w:val="008F663C"/>
    <w:rsid w:val="0090004F"/>
    <w:rsid w:val="009000CA"/>
    <w:rsid w:val="00900766"/>
    <w:rsid w:val="009027A3"/>
    <w:rsid w:val="00902C08"/>
    <w:rsid w:val="009051DB"/>
    <w:rsid w:val="0090540C"/>
    <w:rsid w:val="009068AF"/>
    <w:rsid w:val="0090757F"/>
    <w:rsid w:val="009111AD"/>
    <w:rsid w:val="00912B54"/>
    <w:rsid w:val="00912EAC"/>
    <w:rsid w:val="009163E9"/>
    <w:rsid w:val="00916988"/>
    <w:rsid w:val="00916BCC"/>
    <w:rsid w:val="009207C4"/>
    <w:rsid w:val="00920D03"/>
    <w:rsid w:val="009220D0"/>
    <w:rsid w:val="009222C8"/>
    <w:rsid w:val="009226FE"/>
    <w:rsid w:val="00923170"/>
    <w:rsid w:val="00923487"/>
    <w:rsid w:val="00924052"/>
    <w:rsid w:val="00924B31"/>
    <w:rsid w:val="009258CF"/>
    <w:rsid w:val="00926399"/>
    <w:rsid w:val="00926769"/>
    <w:rsid w:val="0092760F"/>
    <w:rsid w:val="00927B2D"/>
    <w:rsid w:val="009302EB"/>
    <w:rsid w:val="009308C1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A71"/>
    <w:rsid w:val="0095285F"/>
    <w:rsid w:val="009533B2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3F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32B9"/>
    <w:rsid w:val="00983688"/>
    <w:rsid w:val="00983FE1"/>
    <w:rsid w:val="00984B90"/>
    <w:rsid w:val="0098506F"/>
    <w:rsid w:val="009864A8"/>
    <w:rsid w:val="00986898"/>
    <w:rsid w:val="00986B12"/>
    <w:rsid w:val="00986D63"/>
    <w:rsid w:val="00987161"/>
    <w:rsid w:val="00987726"/>
    <w:rsid w:val="009912A8"/>
    <w:rsid w:val="00991F9A"/>
    <w:rsid w:val="009922E7"/>
    <w:rsid w:val="009937A7"/>
    <w:rsid w:val="00994362"/>
    <w:rsid w:val="0099488A"/>
    <w:rsid w:val="00995C04"/>
    <w:rsid w:val="009962BE"/>
    <w:rsid w:val="00997117"/>
    <w:rsid w:val="0099729C"/>
    <w:rsid w:val="009A07CC"/>
    <w:rsid w:val="009A0A7F"/>
    <w:rsid w:val="009A0E3C"/>
    <w:rsid w:val="009A2B9B"/>
    <w:rsid w:val="009A2CB3"/>
    <w:rsid w:val="009A3A29"/>
    <w:rsid w:val="009A52CD"/>
    <w:rsid w:val="009A6968"/>
    <w:rsid w:val="009A6D9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58E5"/>
    <w:rsid w:val="009C6572"/>
    <w:rsid w:val="009C7D0D"/>
    <w:rsid w:val="009D05F7"/>
    <w:rsid w:val="009D1DA3"/>
    <w:rsid w:val="009D1DC6"/>
    <w:rsid w:val="009D36F1"/>
    <w:rsid w:val="009D4A31"/>
    <w:rsid w:val="009D5641"/>
    <w:rsid w:val="009D60AE"/>
    <w:rsid w:val="009D7394"/>
    <w:rsid w:val="009D7DE9"/>
    <w:rsid w:val="009E0A9C"/>
    <w:rsid w:val="009E3233"/>
    <w:rsid w:val="009E33A6"/>
    <w:rsid w:val="009E340D"/>
    <w:rsid w:val="009E34E2"/>
    <w:rsid w:val="009E37AA"/>
    <w:rsid w:val="009E3C9A"/>
    <w:rsid w:val="009E5985"/>
    <w:rsid w:val="009E5BC3"/>
    <w:rsid w:val="009E62CE"/>
    <w:rsid w:val="009E653C"/>
    <w:rsid w:val="009E6C1C"/>
    <w:rsid w:val="009E7A39"/>
    <w:rsid w:val="009E7AC7"/>
    <w:rsid w:val="009F0220"/>
    <w:rsid w:val="009F0549"/>
    <w:rsid w:val="009F1331"/>
    <w:rsid w:val="009F222A"/>
    <w:rsid w:val="009F2598"/>
    <w:rsid w:val="009F2D91"/>
    <w:rsid w:val="009F368C"/>
    <w:rsid w:val="009F39C5"/>
    <w:rsid w:val="009F3C19"/>
    <w:rsid w:val="009F4E35"/>
    <w:rsid w:val="009F74CB"/>
    <w:rsid w:val="009F7968"/>
    <w:rsid w:val="00A000F7"/>
    <w:rsid w:val="00A005B1"/>
    <w:rsid w:val="00A00705"/>
    <w:rsid w:val="00A0112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120A"/>
    <w:rsid w:val="00A11E37"/>
    <w:rsid w:val="00A11EA3"/>
    <w:rsid w:val="00A1321D"/>
    <w:rsid w:val="00A13837"/>
    <w:rsid w:val="00A15003"/>
    <w:rsid w:val="00A16097"/>
    <w:rsid w:val="00A2465E"/>
    <w:rsid w:val="00A2485D"/>
    <w:rsid w:val="00A26646"/>
    <w:rsid w:val="00A27010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E06"/>
    <w:rsid w:val="00A37EA8"/>
    <w:rsid w:val="00A401D0"/>
    <w:rsid w:val="00A408D0"/>
    <w:rsid w:val="00A408D4"/>
    <w:rsid w:val="00A415D1"/>
    <w:rsid w:val="00A4320E"/>
    <w:rsid w:val="00A4416E"/>
    <w:rsid w:val="00A4618A"/>
    <w:rsid w:val="00A465CE"/>
    <w:rsid w:val="00A4668C"/>
    <w:rsid w:val="00A47F94"/>
    <w:rsid w:val="00A50D8F"/>
    <w:rsid w:val="00A50FFB"/>
    <w:rsid w:val="00A521DB"/>
    <w:rsid w:val="00A53099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5E7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3D6D"/>
    <w:rsid w:val="00A85E61"/>
    <w:rsid w:val="00A8759F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0E8D"/>
    <w:rsid w:val="00AB1011"/>
    <w:rsid w:val="00AB2FCC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22C2"/>
    <w:rsid w:val="00AD23C5"/>
    <w:rsid w:val="00AD255E"/>
    <w:rsid w:val="00AD34FD"/>
    <w:rsid w:val="00AD40A2"/>
    <w:rsid w:val="00AD4169"/>
    <w:rsid w:val="00AD4254"/>
    <w:rsid w:val="00AD4AB7"/>
    <w:rsid w:val="00AD636D"/>
    <w:rsid w:val="00AD6EA5"/>
    <w:rsid w:val="00AD76F0"/>
    <w:rsid w:val="00AE053D"/>
    <w:rsid w:val="00AE189F"/>
    <w:rsid w:val="00AE1EB4"/>
    <w:rsid w:val="00AE24A9"/>
    <w:rsid w:val="00AE2F0A"/>
    <w:rsid w:val="00AE3908"/>
    <w:rsid w:val="00AE4768"/>
    <w:rsid w:val="00AE58F2"/>
    <w:rsid w:val="00AE65ED"/>
    <w:rsid w:val="00AE7032"/>
    <w:rsid w:val="00AE7134"/>
    <w:rsid w:val="00AE7604"/>
    <w:rsid w:val="00AF0D5C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3005"/>
    <w:rsid w:val="00B04174"/>
    <w:rsid w:val="00B04D94"/>
    <w:rsid w:val="00B05024"/>
    <w:rsid w:val="00B051BA"/>
    <w:rsid w:val="00B06C61"/>
    <w:rsid w:val="00B0781D"/>
    <w:rsid w:val="00B07FBE"/>
    <w:rsid w:val="00B129AD"/>
    <w:rsid w:val="00B12DD7"/>
    <w:rsid w:val="00B15DC4"/>
    <w:rsid w:val="00B16E11"/>
    <w:rsid w:val="00B201B5"/>
    <w:rsid w:val="00B20636"/>
    <w:rsid w:val="00B20CA1"/>
    <w:rsid w:val="00B20DD5"/>
    <w:rsid w:val="00B21BD2"/>
    <w:rsid w:val="00B22160"/>
    <w:rsid w:val="00B22FF1"/>
    <w:rsid w:val="00B2336E"/>
    <w:rsid w:val="00B24C95"/>
    <w:rsid w:val="00B264EC"/>
    <w:rsid w:val="00B2739E"/>
    <w:rsid w:val="00B27DEE"/>
    <w:rsid w:val="00B3152B"/>
    <w:rsid w:val="00B32F56"/>
    <w:rsid w:val="00B3339B"/>
    <w:rsid w:val="00B33978"/>
    <w:rsid w:val="00B33CFB"/>
    <w:rsid w:val="00B33E17"/>
    <w:rsid w:val="00B3562A"/>
    <w:rsid w:val="00B36BED"/>
    <w:rsid w:val="00B36F04"/>
    <w:rsid w:val="00B3755C"/>
    <w:rsid w:val="00B40E01"/>
    <w:rsid w:val="00B4124C"/>
    <w:rsid w:val="00B4157D"/>
    <w:rsid w:val="00B41F59"/>
    <w:rsid w:val="00B41F7C"/>
    <w:rsid w:val="00B42455"/>
    <w:rsid w:val="00B43834"/>
    <w:rsid w:val="00B4415B"/>
    <w:rsid w:val="00B44252"/>
    <w:rsid w:val="00B449A7"/>
    <w:rsid w:val="00B45208"/>
    <w:rsid w:val="00B4597A"/>
    <w:rsid w:val="00B50A8E"/>
    <w:rsid w:val="00B50F14"/>
    <w:rsid w:val="00B51503"/>
    <w:rsid w:val="00B52E38"/>
    <w:rsid w:val="00B555DB"/>
    <w:rsid w:val="00B56E53"/>
    <w:rsid w:val="00B57725"/>
    <w:rsid w:val="00B57C10"/>
    <w:rsid w:val="00B609AB"/>
    <w:rsid w:val="00B60D51"/>
    <w:rsid w:val="00B63D41"/>
    <w:rsid w:val="00B642C7"/>
    <w:rsid w:val="00B64424"/>
    <w:rsid w:val="00B66982"/>
    <w:rsid w:val="00B66AA3"/>
    <w:rsid w:val="00B66FFC"/>
    <w:rsid w:val="00B6741A"/>
    <w:rsid w:val="00B6752C"/>
    <w:rsid w:val="00B711DB"/>
    <w:rsid w:val="00B71B19"/>
    <w:rsid w:val="00B722FA"/>
    <w:rsid w:val="00B72F24"/>
    <w:rsid w:val="00B730E9"/>
    <w:rsid w:val="00B73487"/>
    <w:rsid w:val="00B75837"/>
    <w:rsid w:val="00B75B8B"/>
    <w:rsid w:val="00B75E02"/>
    <w:rsid w:val="00B760EF"/>
    <w:rsid w:val="00B7630D"/>
    <w:rsid w:val="00B763D5"/>
    <w:rsid w:val="00B77253"/>
    <w:rsid w:val="00B77AF3"/>
    <w:rsid w:val="00B81625"/>
    <w:rsid w:val="00B81E45"/>
    <w:rsid w:val="00B836E4"/>
    <w:rsid w:val="00B8472A"/>
    <w:rsid w:val="00B84B6A"/>
    <w:rsid w:val="00B85870"/>
    <w:rsid w:val="00B85E62"/>
    <w:rsid w:val="00B8637A"/>
    <w:rsid w:val="00B868DD"/>
    <w:rsid w:val="00B869D1"/>
    <w:rsid w:val="00B86F03"/>
    <w:rsid w:val="00B913EA"/>
    <w:rsid w:val="00B92483"/>
    <w:rsid w:val="00B933B2"/>
    <w:rsid w:val="00B939AD"/>
    <w:rsid w:val="00B94327"/>
    <w:rsid w:val="00B94A75"/>
    <w:rsid w:val="00B95EFC"/>
    <w:rsid w:val="00B95F1B"/>
    <w:rsid w:val="00B96EDC"/>
    <w:rsid w:val="00B97BE7"/>
    <w:rsid w:val="00BA081B"/>
    <w:rsid w:val="00BA1E69"/>
    <w:rsid w:val="00BA3AB5"/>
    <w:rsid w:val="00BA54E1"/>
    <w:rsid w:val="00BA57C4"/>
    <w:rsid w:val="00BA5FDC"/>
    <w:rsid w:val="00BA62C8"/>
    <w:rsid w:val="00BA773F"/>
    <w:rsid w:val="00BA7C66"/>
    <w:rsid w:val="00BB0421"/>
    <w:rsid w:val="00BB0DDD"/>
    <w:rsid w:val="00BB234D"/>
    <w:rsid w:val="00BB28CA"/>
    <w:rsid w:val="00BB3689"/>
    <w:rsid w:val="00BB3ED8"/>
    <w:rsid w:val="00BB4764"/>
    <w:rsid w:val="00BB5B74"/>
    <w:rsid w:val="00BB6081"/>
    <w:rsid w:val="00BB6892"/>
    <w:rsid w:val="00BC0F29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E01B1"/>
    <w:rsid w:val="00BE022D"/>
    <w:rsid w:val="00BE0312"/>
    <w:rsid w:val="00BE16DB"/>
    <w:rsid w:val="00BE1721"/>
    <w:rsid w:val="00BE25C1"/>
    <w:rsid w:val="00BE25EB"/>
    <w:rsid w:val="00BE2994"/>
    <w:rsid w:val="00BE7BC2"/>
    <w:rsid w:val="00BF0FE7"/>
    <w:rsid w:val="00BF4B16"/>
    <w:rsid w:val="00BF4DEE"/>
    <w:rsid w:val="00BF6FE9"/>
    <w:rsid w:val="00BF7044"/>
    <w:rsid w:val="00BF7380"/>
    <w:rsid w:val="00BF73C7"/>
    <w:rsid w:val="00BF742C"/>
    <w:rsid w:val="00C01340"/>
    <w:rsid w:val="00C01BD7"/>
    <w:rsid w:val="00C0226C"/>
    <w:rsid w:val="00C02E7E"/>
    <w:rsid w:val="00C032F9"/>
    <w:rsid w:val="00C03BA2"/>
    <w:rsid w:val="00C03C87"/>
    <w:rsid w:val="00C04B1B"/>
    <w:rsid w:val="00C06C9C"/>
    <w:rsid w:val="00C104FC"/>
    <w:rsid w:val="00C107B6"/>
    <w:rsid w:val="00C109B6"/>
    <w:rsid w:val="00C11E34"/>
    <w:rsid w:val="00C1255F"/>
    <w:rsid w:val="00C14361"/>
    <w:rsid w:val="00C14B4A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504A"/>
    <w:rsid w:val="00C3592F"/>
    <w:rsid w:val="00C36445"/>
    <w:rsid w:val="00C37053"/>
    <w:rsid w:val="00C37939"/>
    <w:rsid w:val="00C41DA5"/>
    <w:rsid w:val="00C42DE2"/>
    <w:rsid w:val="00C43A79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AED"/>
    <w:rsid w:val="00C55CC6"/>
    <w:rsid w:val="00C560D1"/>
    <w:rsid w:val="00C564BF"/>
    <w:rsid w:val="00C57295"/>
    <w:rsid w:val="00C6053B"/>
    <w:rsid w:val="00C6053D"/>
    <w:rsid w:val="00C608BB"/>
    <w:rsid w:val="00C60A2D"/>
    <w:rsid w:val="00C610B0"/>
    <w:rsid w:val="00C614C4"/>
    <w:rsid w:val="00C663F4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7682B"/>
    <w:rsid w:val="00C777A2"/>
    <w:rsid w:val="00C80705"/>
    <w:rsid w:val="00C807FE"/>
    <w:rsid w:val="00C809E6"/>
    <w:rsid w:val="00C81036"/>
    <w:rsid w:val="00C81572"/>
    <w:rsid w:val="00C81920"/>
    <w:rsid w:val="00C82422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E91"/>
    <w:rsid w:val="00C9004F"/>
    <w:rsid w:val="00C905D5"/>
    <w:rsid w:val="00C910F9"/>
    <w:rsid w:val="00C91890"/>
    <w:rsid w:val="00C91AEC"/>
    <w:rsid w:val="00C929CC"/>
    <w:rsid w:val="00C9331A"/>
    <w:rsid w:val="00C95019"/>
    <w:rsid w:val="00C95476"/>
    <w:rsid w:val="00C96434"/>
    <w:rsid w:val="00C97A6C"/>
    <w:rsid w:val="00CA272C"/>
    <w:rsid w:val="00CA3104"/>
    <w:rsid w:val="00CA37DB"/>
    <w:rsid w:val="00CA5606"/>
    <w:rsid w:val="00CA64BB"/>
    <w:rsid w:val="00CA69CC"/>
    <w:rsid w:val="00CA7034"/>
    <w:rsid w:val="00CA74A2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1CA9"/>
    <w:rsid w:val="00CD2876"/>
    <w:rsid w:val="00CD2E64"/>
    <w:rsid w:val="00CD38F1"/>
    <w:rsid w:val="00CD41C9"/>
    <w:rsid w:val="00CD501C"/>
    <w:rsid w:val="00CE144E"/>
    <w:rsid w:val="00CE21A9"/>
    <w:rsid w:val="00CE24A8"/>
    <w:rsid w:val="00CE2C84"/>
    <w:rsid w:val="00CE3AEC"/>
    <w:rsid w:val="00CE3BE3"/>
    <w:rsid w:val="00CE6831"/>
    <w:rsid w:val="00CE74CD"/>
    <w:rsid w:val="00CF1FFD"/>
    <w:rsid w:val="00CF23D8"/>
    <w:rsid w:val="00CF25BB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3BC3"/>
    <w:rsid w:val="00D05C53"/>
    <w:rsid w:val="00D069FB"/>
    <w:rsid w:val="00D06F0F"/>
    <w:rsid w:val="00D10AA7"/>
    <w:rsid w:val="00D11310"/>
    <w:rsid w:val="00D11D3A"/>
    <w:rsid w:val="00D1211E"/>
    <w:rsid w:val="00D13E38"/>
    <w:rsid w:val="00D1496E"/>
    <w:rsid w:val="00D15522"/>
    <w:rsid w:val="00D1590B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B55"/>
    <w:rsid w:val="00D36B5E"/>
    <w:rsid w:val="00D36D40"/>
    <w:rsid w:val="00D371F6"/>
    <w:rsid w:val="00D373E1"/>
    <w:rsid w:val="00D42AA7"/>
    <w:rsid w:val="00D42B48"/>
    <w:rsid w:val="00D43922"/>
    <w:rsid w:val="00D43CFC"/>
    <w:rsid w:val="00D43E04"/>
    <w:rsid w:val="00D44046"/>
    <w:rsid w:val="00D442E9"/>
    <w:rsid w:val="00D4434E"/>
    <w:rsid w:val="00D45DE0"/>
    <w:rsid w:val="00D47128"/>
    <w:rsid w:val="00D4756B"/>
    <w:rsid w:val="00D47798"/>
    <w:rsid w:val="00D47DEC"/>
    <w:rsid w:val="00D50FAE"/>
    <w:rsid w:val="00D51795"/>
    <w:rsid w:val="00D52AE3"/>
    <w:rsid w:val="00D5322E"/>
    <w:rsid w:val="00D53A2D"/>
    <w:rsid w:val="00D54533"/>
    <w:rsid w:val="00D54907"/>
    <w:rsid w:val="00D5562F"/>
    <w:rsid w:val="00D55A32"/>
    <w:rsid w:val="00D55D3A"/>
    <w:rsid w:val="00D573EC"/>
    <w:rsid w:val="00D60BC0"/>
    <w:rsid w:val="00D60F7D"/>
    <w:rsid w:val="00D61F54"/>
    <w:rsid w:val="00D627F7"/>
    <w:rsid w:val="00D637A0"/>
    <w:rsid w:val="00D6630C"/>
    <w:rsid w:val="00D66713"/>
    <w:rsid w:val="00D675A6"/>
    <w:rsid w:val="00D675B0"/>
    <w:rsid w:val="00D678F4"/>
    <w:rsid w:val="00D70688"/>
    <w:rsid w:val="00D70E54"/>
    <w:rsid w:val="00D719EA"/>
    <w:rsid w:val="00D73627"/>
    <w:rsid w:val="00D73C5A"/>
    <w:rsid w:val="00D74493"/>
    <w:rsid w:val="00D747EA"/>
    <w:rsid w:val="00D7538D"/>
    <w:rsid w:val="00D753D5"/>
    <w:rsid w:val="00D75792"/>
    <w:rsid w:val="00D75F60"/>
    <w:rsid w:val="00D76341"/>
    <w:rsid w:val="00D767D3"/>
    <w:rsid w:val="00D76BE7"/>
    <w:rsid w:val="00D807C2"/>
    <w:rsid w:val="00D80CF9"/>
    <w:rsid w:val="00D838F0"/>
    <w:rsid w:val="00D8504C"/>
    <w:rsid w:val="00D85330"/>
    <w:rsid w:val="00D86746"/>
    <w:rsid w:val="00D87B78"/>
    <w:rsid w:val="00D87EB8"/>
    <w:rsid w:val="00D90DAE"/>
    <w:rsid w:val="00D91A9D"/>
    <w:rsid w:val="00D93451"/>
    <w:rsid w:val="00D937C7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97968"/>
    <w:rsid w:val="00DA1744"/>
    <w:rsid w:val="00DA18F9"/>
    <w:rsid w:val="00DA1BB1"/>
    <w:rsid w:val="00DA21B8"/>
    <w:rsid w:val="00DA2678"/>
    <w:rsid w:val="00DA38E1"/>
    <w:rsid w:val="00DA4120"/>
    <w:rsid w:val="00DA5A84"/>
    <w:rsid w:val="00DA639D"/>
    <w:rsid w:val="00DA7F65"/>
    <w:rsid w:val="00DB0C72"/>
    <w:rsid w:val="00DB0CA4"/>
    <w:rsid w:val="00DB18FE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962"/>
    <w:rsid w:val="00DB7AED"/>
    <w:rsid w:val="00DC1918"/>
    <w:rsid w:val="00DC1D43"/>
    <w:rsid w:val="00DC527B"/>
    <w:rsid w:val="00DC5811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D70"/>
    <w:rsid w:val="00DE0661"/>
    <w:rsid w:val="00DE11CE"/>
    <w:rsid w:val="00DE1AB6"/>
    <w:rsid w:val="00DE1DAB"/>
    <w:rsid w:val="00DE1F8B"/>
    <w:rsid w:val="00DE24D5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3737"/>
    <w:rsid w:val="00DF49B3"/>
    <w:rsid w:val="00DF5414"/>
    <w:rsid w:val="00DF57F1"/>
    <w:rsid w:val="00DF7FCA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366C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965"/>
    <w:rsid w:val="00E377D3"/>
    <w:rsid w:val="00E37AE0"/>
    <w:rsid w:val="00E400DE"/>
    <w:rsid w:val="00E40511"/>
    <w:rsid w:val="00E407E5"/>
    <w:rsid w:val="00E422A6"/>
    <w:rsid w:val="00E4311E"/>
    <w:rsid w:val="00E43602"/>
    <w:rsid w:val="00E43A5F"/>
    <w:rsid w:val="00E4458D"/>
    <w:rsid w:val="00E46001"/>
    <w:rsid w:val="00E47E67"/>
    <w:rsid w:val="00E54155"/>
    <w:rsid w:val="00E543A5"/>
    <w:rsid w:val="00E54979"/>
    <w:rsid w:val="00E54ABA"/>
    <w:rsid w:val="00E560E4"/>
    <w:rsid w:val="00E60AB0"/>
    <w:rsid w:val="00E6241B"/>
    <w:rsid w:val="00E62E8E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4839"/>
    <w:rsid w:val="00E86F38"/>
    <w:rsid w:val="00E96712"/>
    <w:rsid w:val="00E96724"/>
    <w:rsid w:val="00E969FE"/>
    <w:rsid w:val="00E977AC"/>
    <w:rsid w:val="00EA0007"/>
    <w:rsid w:val="00EA3818"/>
    <w:rsid w:val="00EA4093"/>
    <w:rsid w:val="00EA49EE"/>
    <w:rsid w:val="00EA5071"/>
    <w:rsid w:val="00EA7537"/>
    <w:rsid w:val="00EB00C3"/>
    <w:rsid w:val="00EB4215"/>
    <w:rsid w:val="00EB4F7B"/>
    <w:rsid w:val="00EB4FBD"/>
    <w:rsid w:val="00EB652F"/>
    <w:rsid w:val="00EB66E9"/>
    <w:rsid w:val="00EB707D"/>
    <w:rsid w:val="00EB734B"/>
    <w:rsid w:val="00EC126B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D05A8"/>
    <w:rsid w:val="00ED16CD"/>
    <w:rsid w:val="00ED27AB"/>
    <w:rsid w:val="00ED2CA7"/>
    <w:rsid w:val="00ED31BD"/>
    <w:rsid w:val="00ED3605"/>
    <w:rsid w:val="00ED4610"/>
    <w:rsid w:val="00ED70CE"/>
    <w:rsid w:val="00ED788A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339"/>
    <w:rsid w:val="00F0092E"/>
    <w:rsid w:val="00F01921"/>
    <w:rsid w:val="00F040CB"/>
    <w:rsid w:val="00F04247"/>
    <w:rsid w:val="00F044CD"/>
    <w:rsid w:val="00F04ABA"/>
    <w:rsid w:val="00F05493"/>
    <w:rsid w:val="00F06512"/>
    <w:rsid w:val="00F070A4"/>
    <w:rsid w:val="00F07E3B"/>
    <w:rsid w:val="00F112CF"/>
    <w:rsid w:val="00F117BE"/>
    <w:rsid w:val="00F127F9"/>
    <w:rsid w:val="00F14E1A"/>
    <w:rsid w:val="00F1514F"/>
    <w:rsid w:val="00F163EB"/>
    <w:rsid w:val="00F176BE"/>
    <w:rsid w:val="00F2170F"/>
    <w:rsid w:val="00F21946"/>
    <w:rsid w:val="00F2226A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28C9"/>
    <w:rsid w:val="00F3514D"/>
    <w:rsid w:val="00F35A19"/>
    <w:rsid w:val="00F35DC2"/>
    <w:rsid w:val="00F40CA1"/>
    <w:rsid w:val="00F425D4"/>
    <w:rsid w:val="00F43837"/>
    <w:rsid w:val="00F44610"/>
    <w:rsid w:val="00F451E9"/>
    <w:rsid w:val="00F4559C"/>
    <w:rsid w:val="00F45F1B"/>
    <w:rsid w:val="00F4722D"/>
    <w:rsid w:val="00F50F6B"/>
    <w:rsid w:val="00F523E9"/>
    <w:rsid w:val="00F52909"/>
    <w:rsid w:val="00F52F0E"/>
    <w:rsid w:val="00F52F5C"/>
    <w:rsid w:val="00F53452"/>
    <w:rsid w:val="00F53587"/>
    <w:rsid w:val="00F54B09"/>
    <w:rsid w:val="00F551CF"/>
    <w:rsid w:val="00F55AFD"/>
    <w:rsid w:val="00F60583"/>
    <w:rsid w:val="00F6490B"/>
    <w:rsid w:val="00F6538B"/>
    <w:rsid w:val="00F65BA6"/>
    <w:rsid w:val="00F6759D"/>
    <w:rsid w:val="00F67C4F"/>
    <w:rsid w:val="00F7148F"/>
    <w:rsid w:val="00F71EE8"/>
    <w:rsid w:val="00F72B5D"/>
    <w:rsid w:val="00F73673"/>
    <w:rsid w:val="00F73801"/>
    <w:rsid w:val="00F75887"/>
    <w:rsid w:val="00F77643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5DD8"/>
    <w:rsid w:val="00F8603C"/>
    <w:rsid w:val="00F8692C"/>
    <w:rsid w:val="00F8731C"/>
    <w:rsid w:val="00F90555"/>
    <w:rsid w:val="00F90BC0"/>
    <w:rsid w:val="00F91511"/>
    <w:rsid w:val="00F917A0"/>
    <w:rsid w:val="00F92EE7"/>
    <w:rsid w:val="00F93F8F"/>
    <w:rsid w:val="00F947D9"/>
    <w:rsid w:val="00F94A74"/>
    <w:rsid w:val="00F95569"/>
    <w:rsid w:val="00F95B45"/>
    <w:rsid w:val="00F95B96"/>
    <w:rsid w:val="00F96303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5093"/>
    <w:rsid w:val="00FB5415"/>
    <w:rsid w:val="00FB6C42"/>
    <w:rsid w:val="00FC01F0"/>
    <w:rsid w:val="00FC0412"/>
    <w:rsid w:val="00FC1B5B"/>
    <w:rsid w:val="00FC1F62"/>
    <w:rsid w:val="00FC4FEB"/>
    <w:rsid w:val="00FC5249"/>
    <w:rsid w:val="00FC5AC7"/>
    <w:rsid w:val="00FC66E8"/>
    <w:rsid w:val="00FC73D6"/>
    <w:rsid w:val="00FC7496"/>
    <w:rsid w:val="00FC74B7"/>
    <w:rsid w:val="00FD0BA9"/>
    <w:rsid w:val="00FD16BA"/>
    <w:rsid w:val="00FD34C8"/>
    <w:rsid w:val="00FD36A2"/>
    <w:rsid w:val="00FD46E1"/>
    <w:rsid w:val="00FD5104"/>
    <w:rsid w:val="00FD5579"/>
    <w:rsid w:val="00FD57A6"/>
    <w:rsid w:val="00FD6FDD"/>
    <w:rsid w:val="00FD71D7"/>
    <w:rsid w:val="00FD7268"/>
    <w:rsid w:val="00FD7516"/>
    <w:rsid w:val="00FD7AA3"/>
    <w:rsid w:val="00FE03F3"/>
    <w:rsid w:val="00FE0D3F"/>
    <w:rsid w:val="00FE1056"/>
    <w:rsid w:val="00FE1786"/>
    <w:rsid w:val="00FE28DC"/>
    <w:rsid w:val="00FE4404"/>
    <w:rsid w:val="00FE531C"/>
    <w:rsid w:val="00FE53C5"/>
    <w:rsid w:val="00FE58FA"/>
    <w:rsid w:val="00FE728C"/>
    <w:rsid w:val="00FE78AA"/>
    <w:rsid w:val="00FE78EA"/>
    <w:rsid w:val="00FF1745"/>
    <w:rsid w:val="00FF1845"/>
    <w:rsid w:val="00FF1A26"/>
    <w:rsid w:val="00FF1C0F"/>
    <w:rsid w:val="00FF3066"/>
    <w:rsid w:val="00FF4DD9"/>
    <w:rsid w:val="00FF50CB"/>
    <w:rsid w:val="00FF5D0F"/>
    <w:rsid w:val="00FF6A74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Revision">
    <w:name w:val="Revision"/>
    <w:hidden/>
    <w:uiPriority w:val="99"/>
    <w:semiHidden/>
    <w:rsid w:val="004E0DE6"/>
    <w:rPr>
      <w:rFonts w:ascii="Arial Narrow" w:eastAsia="Times New Roman" w:hAnsi="Arial Narrow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Revision">
    <w:name w:val="Revision"/>
    <w:hidden/>
    <w:uiPriority w:val="99"/>
    <w:semiHidden/>
    <w:rsid w:val="004E0DE6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8A27D-2492-4787-9C9F-3424D0BA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1525</Words>
  <Characters>9556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</dc:creator>
  <cp:lastModifiedBy>dbrillaki</cp:lastModifiedBy>
  <cp:revision>8</cp:revision>
  <cp:lastPrinted>2015-09-10T13:49:00Z</cp:lastPrinted>
  <dcterms:created xsi:type="dcterms:W3CDTF">2015-11-03T10:21:00Z</dcterms:created>
  <dcterms:modified xsi:type="dcterms:W3CDTF">2015-11-18T09:52:00Z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